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w:t>
      </w:r>
      <w:bookmarkStart w:id="2" w:name="_GoBack"/>
      <w:bookmarkEnd w:id="2"/>
      <w:r>
        <w:rPr>
          <w:rFonts w:hint="eastAsia" w:ascii="Arial" w:hAnsi="Arial"/>
          <w:b/>
          <w:color w:val="auto"/>
          <w:sz w:val="24"/>
          <w:lang w:val="en-US" w:eastAsia="zh-CN"/>
        </w:rPr>
        <w:t>6481</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10 </w:t>
      </w:r>
      <w:r>
        <w:rPr>
          <w:rFonts w:ascii="Arial" w:hAnsi="Arial" w:cs="Arial"/>
          <w:b/>
          <w:bCs/>
          <w:sz w:val="24"/>
          <w:szCs w:val="24"/>
        </w:rPr>
        <w:t>–</w:t>
      </w:r>
      <w:r>
        <w:rPr>
          <w:rFonts w:hint="eastAsia" w:ascii="Arial" w:hAnsi="Arial" w:eastAsia="宋体" w:cs="Arial"/>
          <w:b/>
          <w:bCs/>
          <w:sz w:val="24"/>
          <w:szCs w:val="24"/>
          <w:lang w:val="en-US" w:eastAsia="zh-CN"/>
        </w:rPr>
        <w:t xml:space="preserve"> 29</w:t>
      </w:r>
      <w:r>
        <w:rPr>
          <w:rFonts w:ascii="Arial" w:hAnsi="Arial" w:cs="Arial"/>
          <w:b/>
          <w:bCs/>
          <w:sz w:val="24"/>
          <w:szCs w:val="24"/>
        </w:rPr>
        <w:t xml:space="preserve"> </w:t>
      </w:r>
      <w:r>
        <w:rPr>
          <w:rFonts w:hint="eastAsia" w:ascii="Arial" w:hAnsi="Arial" w:eastAsia="宋体" w:cs="Arial"/>
          <w:b/>
          <w:bCs/>
          <w:sz w:val="24"/>
          <w:szCs w:val="24"/>
          <w:lang w:val="en-US" w:eastAsia="zh-CN"/>
        </w:rPr>
        <w:t>Oct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requirements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6.13.5</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to study the air-to-ground for NR. The objective of this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Cs/>
                <w:lang w:eastAsia="zh-CN"/>
              </w:rPr>
            </w:pPr>
            <w:r>
              <w:rPr>
                <w:rFonts w:hint="eastAsia"/>
                <w:bCs/>
                <w:lang w:eastAsia="zh-CN"/>
              </w:rPr>
              <w:t>T</w:t>
            </w:r>
            <w:r>
              <w:rPr>
                <w:bCs/>
                <w:lang w:eastAsia="zh-CN"/>
              </w:rPr>
              <w:t>he core part of this work item includes</w:t>
            </w:r>
          </w:p>
          <w:p>
            <w:pPr>
              <w:widowControl w:val="0"/>
              <w:numPr>
                <w:ilvl w:val="0"/>
                <w:numId w:val="4"/>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4"/>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4"/>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RRM core requirements for ATG UE</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4"/>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r>
              <w:rPr>
                <w:rFonts w:ascii="Times New Roman" w:hAnsi="Times New Roman" w:eastAsia="Times New Roman" w:cs="Times New Roman"/>
                <w:kern w:val="2"/>
                <w:sz w:val="20"/>
                <w:szCs w:val="24"/>
                <w:lang w:val="en-US" w:eastAsia="zh-CN" w:bidi="ar-SA"/>
              </w:rPr>
              <w:t>Specify new UE/BS type(s) for ATG network if necessary</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The following agreements were achieved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1" w:hRule="atLeast"/>
        </w:trPr>
        <w:tc>
          <w:tcPr>
            <w:tcW w:w="9514" w:type="dxa"/>
          </w:tcPr>
          <w:p>
            <w:pPr>
              <w:pStyle w:val="4"/>
              <w:keepNext w:val="0"/>
              <w:keepLines w:val="0"/>
              <w:pageBreakBefore w:val="0"/>
              <w:tabs>
                <w:tab w:val="left" w:pos="226"/>
                <w:tab w:val="left" w:pos="284"/>
                <w:tab w:val="left" w:pos="5103"/>
              </w:tabs>
              <w:kinsoku/>
              <w:wordWrap/>
              <w:overflowPunct/>
              <w:topLinePunct w:val="0"/>
              <w:bidi w:val="0"/>
              <w:snapToGrid w:val="0"/>
              <w:spacing w:after="0"/>
              <w:textAlignment w:val="auto"/>
              <w:rPr>
                <w:rFonts w:hint="eastAsia"/>
                <w:b/>
                <w:bCs/>
                <w:u w:val="single"/>
                <w:lang w:val="en-US" w:eastAsia="zh-CN"/>
              </w:rPr>
            </w:pPr>
            <w:r>
              <w:rPr>
                <w:rFonts w:hint="eastAsia"/>
                <w:b/>
                <w:bCs/>
                <w:u w:val="single"/>
                <w:lang w:val="en-US" w:eastAsia="zh-CN"/>
              </w:rPr>
              <w:t>General:</w:t>
            </w:r>
          </w:p>
          <w:p>
            <w:pPr>
              <w:keepNext w:val="0"/>
              <w:keepLines w:val="0"/>
              <w:pageBreakBefore w:val="0"/>
              <w:kinsoku/>
              <w:wordWrap/>
              <w:overflowPunct/>
              <w:topLinePunct w:val="0"/>
              <w:autoSpaceDE w:val="0"/>
              <w:autoSpaceDN w:val="0"/>
              <w:bidi w:val="0"/>
              <w:adjustRightInd w:val="0"/>
              <w:spacing w:line="360" w:lineRule="auto"/>
              <w:textAlignment w:val="auto"/>
              <w:rPr>
                <w:rFonts w:eastAsia="Malgun Gothic"/>
                <w:b/>
                <w:sz w:val="20"/>
                <w:szCs w:val="20"/>
                <w:u w:val="none"/>
                <w:lang w:eastAsia="ko-KR"/>
              </w:rPr>
            </w:pPr>
            <w:r>
              <w:rPr>
                <w:b/>
                <w:sz w:val="20"/>
                <w:szCs w:val="20"/>
                <w:u w:val="none"/>
                <w:lang w:eastAsia="ko-KR"/>
              </w:rPr>
              <w:t>Scenarios to be considered for ATG RRM</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 xml:space="preserve">FR2 related requirements, CA/DC related requirements and inter-RAT measurement related requirements are not applicable to R18 ATG. </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Both intra-frequency and inter-frequency measurement requirements need to be defined.</w:t>
            </w:r>
          </w:p>
          <w:p>
            <w:pPr>
              <w:keepNext w:val="0"/>
              <w:keepLines w:val="0"/>
              <w:pageBreakBefore w:val="0"/>
              <w:kinsoku/>
              <w:wordWrap/>
              <w:overflowPunct/>
              <w:topLinePunct w:val="0"/>
              <w:autoSpaceDE w:val="0"/>
              <w:autoSpaceDN w:val="0"/>
              <w:bidi w:val="0"/>
              <w:adjustRightInd w:val="0"/>
              <w:spacing w:line="360" w:lineRule="auto"/>
              <w:textAlignment w:val="auto"/>
              <w:rPr>
                <w:b/>
                <w:sz w:val="20"/>
                <w:szCs w:val="20"/>
                <w:u w:val="none"/>
                <w:lang w:eastAsia="ko-KR"/>
              </w:rPr>
            </w:pPr>
            <w:r>
              <w:rPr>
                <w:b/>
                <w:sz w:val="20"/>
                <w:szCs w:val="20"/>
                <w:u w:val="none"/>
                <w:lang w:eastAsia="ko-KR"/>
              </w:rPr>
              <w:t>Impaction on TS38.133 Section 3: Definitions, symbols and abbreviations</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 xml:space="preserve">ATG terminologies need to be introduced. </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FFS on ATG bands table based on input from RF session.</w:t>
            </w:r>
          </w:p>
          <w:p>
            <w:pPr>
              <w:keepNext w:val="0"/>
              <w:keepLines w:val="0"/>
              <w:pageBreakBefore w:val="0"/>
              <w:kinsoku/>
              <w:wordWrap/>
              <w:overflowPunct/>
              <w:topLinePunct w:val="0"/>
              <w:autoSpaceDE w:val="0"/>
              <w:autoSpaceDN w:val="0"/>
              <w:bidi w:val="0"/>
              <w:adjustRightInd w:val="0"/>
              <w:spacing w:line="360" w:lineRule="auto"/>
              <w:textAlignment w:val="auto"/>
              <w:rPr>
                <w:b/>
                <w:sz w:val="20"/>
                <w:szCs w:val="20"/>
                <w:u w:val="none"/>
                <w:lang w:eastAsia="ko-KR"/>
              </w:rPr>
            </w:pPr>
            <w:r>
              <w:rPr>
                <w:b/>
                <w:sz w:val="20"/>
                <w:szCs w:val="20"/>
                <w:u w:val="none"/>
                <w:lang w:eastAsia="ko-KR"/>
              </w:rPr>
              <w:t>UE assistance information</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RAN4 further study ATG UE assistance information</w:t>
            </w:r>
          </w:p>
          <w:p>
            <w:pPr>
              <w:keepNext w:val="0"/>
              <w:keepLines w:val="0"/>
              <w:pageBreakBefore w:val="0"/>
              <w:numPr>
                <w:ilvl w:val="1"/>
                <w:numId w:val="5"/>
              </w:numPr>
              <w:kinsoku/>
              <w:wordWrap/>
              <w:overflowPunct/>
              <w:topLinePunct w:val="0"/>
              <w:autoSpaceDE w:val="0"/>
              <w:autoSpaceDN w:val="0"/>
              <w:bidi w:val="0"/>
              <w:adjustRightInd w:val="0"/>
              <w:spacing w:line="360" w:lineRule="auto"/>
              <w:ind w:left="1355" w:leftChars="0" w:hanging="357"/>
              <w:textAlignment w:val="auto"/>
              <w:rPr>
                <w:rFonts w:hint="default"/>
                <w:lang w:val="en-US" w:eastAsia="zh-CN"/>
              </w:rPr>
            </w:pPr>
            <w:r>
              <w:rPr>
                <w:sz w:val="20"/>
                <w:szCs w:val="20"/>
              </w:rPr>
              <w:t>such as altitude, location, propagation delay difference, flight path, speed, velocity etc., or change in any of these parameters.</w:t>
            </w:r>
          </w:p>
          <w:p>
            <w:pPr>
              <w:keepNext w:val="0"/>
              <w:keepLines w:val="0"/>
              <w:pageBreakBefore w:val="0"/>
              <w:numPr>
                <w:ilvl w:val="0"/>
                <w:numId w:val="0"/>
              </w:numPr>
              <w:kinsoku/>
              <w:wordWrap/>
              <w:overflowPunct/>
              <w:topLinePunct w:val="0"/>
              <w:autoSpaceDE w:val="0"/>
              <w:autoSpaceDN w:val="0"/>
              <w:bidi w:val="0"/>
              <w:adjustRightInd w:val="0"/>
              <w:spacing w:line="360" w:lineRule="auto"/>
              <w:textAlignment w:val="auto"/>
              <w:rPr>
                <w:rFonts w:hint="eastAsia" w:ascii="Times New Roman" w:hAnsi="Times New Roman" w:eastAsia="MS Mincho" w:cs="Times New Roman"/>
                <w:b/>
                <w:bCs/>
                <w:szCs w:val="24"/>
                <w:u w:val="single"/>
                <w:lang w:val="en-US" w:eastAsia="zh-CN" w:bidi="ar-SA"/>
              </w:rPr>
            </w:pPr>
            <w:r>
              <w:rPr>
                <w:rFonts w:hint="eastAsia" w:ascii="Times New Roman" w:hAnsi="Times New Roman" w:eastAsia="MS Mincho" w:cs="Times New Roman"/>
                <w:b/>
                <w:bCs/>
                <w:szCs w:val="24"/>
                <w:u w:val="single"/>
                <w:lang w:val="en-US" w:eastAsia="zh-CN" w:bidi="ar-SA"/>
              </w:rPr>
              <w:t>Mobility:</w:t>
            </w:r>
          </w:p>
          <w:p>
            <w:pPr>
              <w:keepNext w:val="0"/>
              <w:keepLines w:val="0"/>
              <w:pageBreakBefore w:val="0"/>
              <w:kinsoku/>
              <w:wordWrap/>
              <w:overflowPunct/>
              <w:topLinePunct w:val="0"/>
              <w:autoSpaceDE w:val="0"/>
              <w:autoSpaceDN w:val="0"/>
              <w:bidi w:val="0"/>
              <w:adjustRightInd w:val="0"/>
              <w:spacing w:line="360" w:lineRule="auto"/>
              <w:textAlignment w:val="auto"/>
              <w:rPr>
                <w:b/>
                <w:sz w:val="20"/>
                <w:szCs w:val="20"/>
                <w:u w:val="none"/>
                <w:lang w:eastAsia="ko-KR"/>
              </w:rPr>
            </w:pPr>
            <w:r>
              <w:rPr>
                <w:b/>
                <w:sz w:val="20"/>
                <w:szCs w:val="20"/>
                <w:u w:val="none"/>
                <w:lang w:eastAsia="ko-KR"/>
              </w:rPr>
              <w:t>Cell selection requirements</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lang w:val="en-GB"/>
              </w:rPr>
            </w:pPr>
            <w:r>
              <w:rPr>
                <w:sz w:val="20"/>
                <w:szCs w:val="20"/>
              </w:rPr>
              <w:t>No new cell selection requirement (Section 4.1 in TS 38.133) for ATG is need to be developed, legacy requirements can be reused.</w:t>
            </w:r>
          </w:p>
          <w:p>
            <w:pPr>
              <w:keepNext w:val="0"/>
              <w:keepLines w:val="0"/>
              <w:pageBreakBefore w:val="0"/>
              <w:kinsoku/>
              <w:wordWrap/>
              <w:overflowPunct/>
              <w:topLinePunct w:val="0"/>
              <w:autoSpaceDE w:val="0"/>
              <w:autoSpaceDN w:val="0"/>
              <w:bidi w:val="0"/>
              <w:adjustRightInd w:val="0"/>
              <w:spacing w:line="360" w:lineRule="auto"/>
              <w:textAlignment w:val="auto"/>
              <w:rPr>
                <w:rFonts w:eastAsia="Malgun Gothic"/>
                <w:b/>
                <w:sz w:val="20"/>
                <w:szCs w:val="20"/>
                <w:u w:val="none"/>
                <w:lang w:eastAsia="ko-KR"/>
              </w:rPr>
            </w:pPr>
            <w:r>
              <w:rPr>
                <w:b/>
                <w:sz w:val="20"/>
                <w:szCs w:val="20"/>
                <w:u w:val="none"/>
                <w:lang w:eastAsia="ko-KR"/>
              </w:rPr>
              <w:t>Cell re-selection measurement capability</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 xml:space="preserve">Use current UE capability for NR intra-frequency measurement and NR inter-frequency measurement as the starting point. </w:t>
            </w:r>
          </w:p>
          <w:p>
            <w:pPr>
              <w:keepNext w:val="0"/>
              <w:keepLines w:val="0"/>
              <w:pageBreakBefore w:val="0"/>
              <w:numPr>
                <w:ilvl w:val="1"/>
                <w:numId w:val="5"/>
              </w:numPr>
              <w:kinsoku/>
              <w:wordWrap/>
              <w:overflowPunct/>
              <w:topLinePunct w:val="0"/>
              <w:autoSpaceDE w:val="0"/>
              <w:autoSpaceDN w:val="0"/>
              <w:bidi w:val="0"/>
              <w:adjustRightInd w:val="0"/>
              <w:spacing w:line="360" w:lineRule="auto"/>
              <w:ind w:left="1355" w:leftChars="0" w:hanging="357"/>
              <w:textAlignment w:val="auto"/>
              <w:rPr>
                <w:sz w:val="20"/>
                <w:szCs w:val="20"/>
              </w:rPr>
            </w:pPr>
            <w:r>
              <w:rPr>
                <w:sz w:val="20"/>
                <w:szCs w:val="20"/>
              </w:rPr>
              <w:t>Further study the capability after the scenario is clearer in the RF group.</w:t>
            </w:r>
          </w:p>
          <w:p>
            <w:pPr>
              <w:keepNext w:val="0"/>
              <w:keepLines w:val="0"/>
              <w:pageBreakBefore w:val="0"/>
              <w:numPr>
                <w:ilvl w:val="0"/>
                <w:numId w:val="0"/>
              </w:numPr>
              <w:kinsoku/>
              <w:wordWrap/>
              <w:overflowPunct/>
              <w:topLinePunct w:val="0"/>
              <w:autoSpaceDE w:val="0"/>
              <w:autoSpaceDN w:val="0"/>
              <w:bidi w:val="0"/>
              <w:adjustRightInd w:val="0"/>
              <w:spacing w:line="360" w:lineRule="auto"/>
              <w:textAlignment w:val="auto"/>
              <w:rPr>
                <w:rFonts w:hint="default" w:ascii="Times New Roman" w:hAnsi="Times New Roman" w:eastAsia="MS Mincho" w:cs="Times New Roman"/>
                <w:b/>
                <w:bCs/>
                <w:szCs w:val="24"/>
                <w:u w:val="single"/>
                <w:lang w:val="en-US" w:eastAsia="zh-CN" w:bidi="ar-SA"/>
              </w:rPr>
            </w:pPr>
            <w:r>
              <w:rPr>
                <w:rFonts w:hint="eastAsia" w:ascii="Times New Roman" w:hAnsi="Times New Roman" w:eastAsia="MS Mincho" w:cs="Times New Roman"/>
                <w:b/>
                <w:bCs/>
                <w:szCs w:val="24"/>
                <w:u w:val="single"/>
                <w:lang w:val="en-US" w:eastAsia="zh-CN" w:bidi="ar-SA"/>
              </w:rPr>
              <w:t>Mobility in RRC_CONNECTED:</w:t>
            </w:r>
          </w:p>
          <w:p>
            <w:pPr>
              <w:keepNext w:val="0"/>
              <w:keepLines w:val="0"/>
              <w:pageBreakBefore w:val="0"/>
              <w:kinsoku/>
              <w:wordWrap/>
              <w:overflowPunct/>
              <w:topLinePunct w:val="0"/>
              <w:autoSpaceDE w:val="0"/>
              <w:autoSpaceDN w:val="0"/>
              <w:bidi w:val="0"/>
              <w:adjustRightInd w:val="0"/>
              <w:spacing w:line="360" w:lineRule="auto"/>
              <w:textAlignment w:val="auto"/>
              <w:rPr>
                <w:rFonts w:eastAsia="Malgun Gothic"/>
                <w:b/>
                <w:sz w:val="20"/>
                <w:szCs w:val="20"/>
                <w:u w:val="none"/>
                <w:lang w:eastAsia="ko-KR"/>
              </w:rPr>
            </w:pPr>
            <w:r>
              <w:rPr>
                <w:b/>
                <w:sz w:val="20"/>
                <w:szCs w:val="20"/>
                <w:u w:val="none"/>
                <w:lang w:eastAsia="ko-KR"/>
              </w:rPr>
              <w:t>SA: RRC Re-establishment</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Reuse the principle from the legacy RRC Re-establishment delay requirements as baseline for ATG</w:t>
            </w:r>
          </w:p>
          <w:p>
            <w:pPr>
              <w:keepNext w:val="0"/>
              <w:keepLines w:val="0"/>
              <w:pageBreakBefore w:val="0"/>
              <w:numPr>
                <w:ilvl w:val="1"/>
                <w:numId w:val="5"/>
              </w:numPr>
              <w:kinsoku/>
              <w:wordWrap/>
              <w:overflowPunct/>
              <w:topLinePunct w:val="0"/>
              <w:autoSpaceDE w:val="0"/>
              <w:autoSpaceDN w:val="0"/>
              <w:bidi w:val="0"/>
              <w:adjustRightInd w:val="0"/>
              <w:spacing w:line="360" w:lineRule="auto"/>
              <w:ind w:left="1355" w:leftChars="0" w:hanging="357"/>
              <w:textAlignment w:val="auto"/>
              <w:rPr>
                <w:sz w:val="20"/>
                <w:szCs w:val="20"/>
              </w:rPr>
            </w:pPr>
            <w:r>
              <w:rPr>
                <w:sz w:val="20"/>
                <w:szCs w:val="20"/>
              </w:rPr>
              <w:t>Further discuss whether the ATG specific RRC Re-establishment requirement is needed.</w:t>
            </w:r>
          </w:p>
          <w:p>
            <w:pPr>
              <w:keepNext w:val="0"/>
              <w:keepLines w:val="0"/>
              <w:pageBreakBefore w:val="0"/>
              <w:numPr>
                <w:ilvl w:val="0"/>
                <w:numId w:val="0"/>
              </w:numPr>
              <w:kinsoku/>
              <w:wordWrap/>
              <w:overflowPunct/>
              <w:topLinePunct w:val="0"/>
              <w:autoSpaceDE w:val="0"/>
              <w:autoSpaceDN w:val="0"/>
              <w:bidi w:val="0"/>
              <w:adjustRightInd w:val="0"/>
              <w:spacing w:line="360" w:lineRule="auto"/>
              <w:textAlignment w:val="auto"/>
              <w:rPr>
                <w:rFonts w:hint="eastAsia" w:ascii="Times New Roman" w:hAnsi="Times New Roman" w:eastAsia="MS Mincho" w:cs="Times New Roman"/>
                <w:b/>
                <w:bCs/>
                <w:szCs w:val="24"/>
                <w:u w:val="single"/>
                <w:lang w:val="en-US" w:eastAsia="zh-CN" w:bidi="ar-SA"/>
              </w:rPr>
            </w:pPr>
            <w:r>
              <w:rPr>
                <w:rFonts w:hint="eastAsia" w:ascii="Times New Roman" w:hAnsi="Times New Roman" w:eastAsia="MS Mincho" w:cs="Times New Roman"/>
                <w:b/>
                <w:bCs/>
                <w:szCs w:val="24"/>
                <w:u w:val="single"/>
                <w:lang w:val="en-US" w:eastAsia="zh-CN" w:bidi="ar-SA"/>
              </w:rPr>
              <w:t>Timing and frequency adjustment:</w:t>
            </w:r>
          </w:p>
          <w:p>
            <w:pPr>
              <w:keepNext w:val="0"/>
              <w:keepLines w:val="0"/>
              <w:pageBreakBefore w:val="0"/>
              <w:kinsoku/>
              <w:wordWrap/>
              <w:overflowPunct/>
              <w:topLinePunct w:val="0"/>
              <w:autoSpaceDE w:val="0"/>
              <w:autoSpaceDN w:val="0"/>
              <w:bidi w:val="0"/>
              <w:adjustRightInd w:val="0"/>
              <w:spacing w:line="360" w:lineRule="auto"/>
              <w:textAlignment w:val="auto"/>
              <w:rPr>
                <w:b/>
                <w:sz w:val="15"/>
                <w:szCs w:val="15"/>
                <w:u w:val="none"/>
                <w:lang w:eastAsia="ko-KR"/>
              </w:rPr>
            </w:pPr>
            <w:r>
              <w:rPr>
                <w:b/>
                <w:sz w:val="20"/>
                <w:szCs w:val="20"/>
                <w:u w:val="none"/>
                <w:lang w:eastAsia="ko-KR"/>
              </w:rPr>
              <w:t>Whether ATG UE should be capable of GNSS measurement</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ATG UE should be capable of GNSS measurement</w:t>
            </w:r>
          </w:p>
          <w:p>
            <w:pPr>
              <w:keepNext w:val="0"/>
              <w:keepLines w:val="0"/>
              <w:pageBreakBefore w:val="0"/>
              <w:numPr>
                <w:ilvl w:val="0"/>
                <w:numId w:val="0"/>
              </w:numPr>
              <w:kinsoku/>
              <w:wordWrap/>
              <w:overflowPunct/>
              <w:topLinePunct w:val="0"/>
              <w:autoSpaceDE w:val="0"/>
              <w:autoSpaceDN w:val="0"/>
              <w:bidi w:val="0"/>
              <w:adjustRightInd w:val="0"/>
              <w:spacing w:line="360" w:lineRule="auto"/>
              <w:textAlignment w:val="auto"/>
              <w:rPr>
                <w:rFonts w:hint="default" w:ascii="Times New Roman" w:hAnsi="Times New Roman" w:eastAsia="MS Mincho" w:cs="Times New Roman"/>
                <w:b/>
                <w:bCs/>
                <w:szCs w:val="24"/>
                <w:u w:val="single"/>
                <w:lang w:val="en-US" w:eastAsia="zh-CN" w:bidi="ar-SA"/>
              </w:rPr>
            </w:pPr>
            <w:r>
              <w:rPr>
                <w:rFonts w:hint="eastAsia" w:ascii="Times New Roman" w:hAnsi="Times New Roman" w:eastAsia="MS Mincho" w:cs="Times New Roman"/>
                <w:b/>
                <w:bCs/>
                <w:szCs w:val="24"/>
                <w:u w:val="single"/>
                <w:lang w:val="en-US" w:eastAsia="zh-CN" w:bidi="ar-SA"/>
              </w:rPr>
              <w:t>Timing requirements:</w:t>
            </w:r>
          </w:p>
          <w:p>
            <w:pPr>
              <w:keepNext w:val="0"/>
              <w:keepLines w:val="0"/>
              <w:pageBreakBefore w:val="0"/>
              <w:kinsoku/>
              <w:wordWrap/>
              <w:overflowPunct/>
              <w:topLinePunct w:val="0"/>
              <w:autoSpaceDE w:val="0"/>
              <w:autoSpaceDN w:val="0"/>
              <w:bidi w:val="0"/>
              <w:adjustRightInd w:val="0"/>
              <w:spacing w:line="360" w:lineRule="auto"/>
              <w:textAlignment w:val="auto"/>
              <w:rPr>
                <w:b/>
                <w:sz w:val="20"/>
                <w:szCs w:val="20"/>
                <w:u w:val="none"/>
                <w:lang w:eastAsia="ko-KR"/>
              </w:rPr>
            </w:pPr>
            <w:r>
              <w:rPr>
                <w:b/>
                <w:sz w:val="20"/>
                <w:szCs w:val="20"/>
                <w:u w:val="none"/>
                <w:lang w:eastAsia="ko-KR"/>
              </w:rPr>
              <w:t>UE timer accuracy</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 xml:space="preserve">No new specific requirement for ATG is need to be developed. </w:t>
            </w:r>
          </w:p>
          <w:p>
            <w:pPr>
              <w:keepNext w:val="0"/>
              <w:keepLines w:val="0"/>
              <w:pageBreakBefore w:val="0"/>
              <w:kinsoku/>
              <w:wordWrap/>
              <w:overflowPunct/>
              <w:topLinePunct w:val="0"/>
              <w:autoSpaceDE w:val="0"/>
              <w:autoSpaceDN w:val="0"/>
              <w:bidi w:val="0"/>
              <w:adjustRightInd w:val="0"/>
              <w:spacing w:line="360" w:lineRule="auto"/>
              <w:textAlignment w:val="auto"/>
              <w:rPr>
                <w:b/>
                <w:sz w:val="20"/>
                <w:szCs w:val="20"/>
                <w:u w:val="none"/>
                <w:lang w:eastAsia="ko-KR"/>
              </w:rPr>
            </w:pPr>
            <w:r>
              <w:rPr>
                <w:b/>
                <w:sz w:val="20"/>
                <w:szCs w:val="20"/>
                <w:u w:val="none"/>
                <w:lang w:eastAsia="ko-KR"/>
              </w:rPr>
              <w:t>Cell phase synchronization accuracy</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Cell phase synchronization accuracy will be defined for ATG, the legacy TN requirement can be the baseline</w:t>
            </w:r>
          </w:p>
          <w:p>
            <w:pPr>
              <w:keepNext w:val="0"/>
              <w:keepLines w:val="0"/>
              <w:pageBreakBefore w:val="0"/>
              <w:numPr>
                <w:ilvl w:val="1"/>
                <w:numId w:val="5"/>
              </w:numPr>
              <w:kinsoku/>
              <w:wordWrap/>
              <w:overflowPunct/>
              <w:topLinePunct w:val="0"/>
              <w:autoSpaceDE w:val="0"/>
              <w:autoSpaceDN w:val="0"/>
              <w:bidi w:val="0"/>
              <w:adjustRightInd w:val="0"/>
              <w:spacing w:line="360" w:lineRule="auto"/>
              <w:ind w:left="1355" w:leftChars="0" w:hanging="357"/>
              <w:textAlignment w:val="auto"/>
              <w:rPr>
                <w:sz w:val="20"/>
                <w:szCs w:val="20"/>
              </w:rPr>
            </w:pPr>
            <w:r>
              <w:rPr>
                <w:sz w:val="20"/>
                <w:szCs w:val="20"/>
              </w:rPr>
              <w:t>FFS whether to tighten the requirements or not</w:t>
            </w:r>
          </w:p>
          <w:p>
            <w:pPr>
              <w:keepNext w:val="0"/>
              <w:keepLines w:val="0"/>
              <w:pageBreakBefore w:val="0"/>
              <w:numPr>
                <w:ilvl w:val="0"/>
                <w:numId w:val="0"/>
              </w:numPr>
              <w:kinsoku/>
              <w:wordWrap/>
              <w:overflowPunct/>
              <w:topLinePunct w:val="0"/>
              <w:autoSpaceDE w:val="0"/>
              <w:autoSpaceDN w:val="0"/>
              <w:bidi w:val="0"/>
              <w:adjustRightInd w:val="0"/>
              <w:spacing w:line="360" w:lineRule="auto"/>
              <w:textAlignment w:val="auto"/>
              <w:rPr>
                <w:rFonts w:hint="eastAsia"/>
                <w:b/>
                <w:bCs/>
                <w:u w:val="single"/>
                <w:lang w:val="en-US" w:eastAsia="zh-CN"/>
              </w:rPr>
            </w:pPr>
            <w:r>
              <w:rPr>
                <w:rFonts w:hint="eastAsia"/>
                <w:b/>
                <w:bCs/>
                <w:u w:val="single"/>
                <w:lang w:val="en-US" w:eastAsia="zh-CN"/>
              </w:rPr>
              <w:t>Signalling characteristics:</w:t>
            </w:r>
          </w:p>
          <w:p>
            <w:pPr>
              <w:keepNext w:val="0"/>
              <w:keepLines w:val="0"/>
              <w:pageBreakBefore w:val="0"/>
              <w:kinsoku/>
              <w:wordWrap/>
              <w:overflowPunct/>
              <w:topLinePunct w:val="0"/>
              <w:autoSpaceDE w:val="0"/>
              <w:autoSpaceDN w:val="0"/>
              <w:bidi w:val="0"/>
              <w:adjustRightInd w:val="0"/>
              <w:spacing w:line="360" w:lineRule="auto"/>
              <w:textAlignment w:val="auto"/>
              <w:rPr>
                <w:b/>
                <w:sz w:val="20"/>
                <w:szCs w:val="20"/>
                <w:u w:val="none"/>
                <w:lang w:eastAsia="ko-KR"/>
              </w:rPr>
            </w:pPr>
            <w:r>
              <w:rPr>
                <w:b/>
                <w:sz w:val="20"/>
                <w:szCs w:val="20"/>
                <w:u w:val="none"/>
                <w:lang w:eastAsia="ko-KR"/>
              </w:rPr>
              <w:t>Radio Link Monitoring</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Reuse the principle from the legacy RLM requirements as baseline for ATG</w:t>
            </w:r>
          </w:p>
          <w:p>
            <w:pPr>
              <w:keepNext w:val="0"/>
              <w:keepLines w:val="0"/>
              <w:pageBreakBefore w:val="0"/>
              <w:numPr>
                <w:ilvl w:val="1"/>
                <w:numId w:val="5"/>
              </w:numPr>
              <w:kinsoku/>
              <w:wordWrap/>
              <w:overflowPunct/>
              <w:topLinePunct w:val="0"/>
              <w:autoSpaceDE w:val="0"/>
              <w:autoSpaceDN w:val="0"/>
              <w:bidi w:val="0"/>
              <w:adjustRightInd w:val="0"/>
              <w:spacing w:line="360" w:lineRule="auto"/>
              <w:ind w:left="1355" w:leftChars="0" w:hanging="357"/>
              <w:textAlignment w:val="auto"/>
              <w:rPr>
                <w:sz w:val="20"/>
                <w:szCs w:val="20"/>
              </w:rPr>
            </w:pPr>
            <w:r>
              <w:rPr>
                <w:sz w:val="20"/>
                <w:szCs w:val="20"/>
              </w:rPr>
              <w:t>Further discuss whether ATG specific impaction should be involved.</w:t>
            </w:r>
          </w:p>
          <w:p>
            <w:pPr>
              <w:keepNext w:val="0"/>
              <w:keepLines w:val="0"/>
              <w:pageBreakBefore w:val="0"/>
              <w:kinsoku/>
              <w:wordWrap/>
              <w:overflowPunct/>
              <w:topLinePunct w:val="0"/>
              <w:autoSpaceDE w:val="0"/>
              <w:autoSpaceDN w:val="0"/>
              <w:bidi w:val="0"/>
              <w:adjustRightInd w:val="0"/>
              <w:spacing w:line="360" w:lineRule="auto"/>
              <w:textAlignment w:val="auto"/>
              <w:rPr>
                <w:b/>
                <w:sz w:val="20"/>
                <w:szCs w:val="20"/>
                <w:u w:val="none"/>
                <w:lang w:eastAsia="ko-KR"/>
              </w:rPr>
            </w:pPr>
            <w:r>
              <w:rPr>
                <w:b/>
                <w:sz w:val="20"/>
                <w:szCs w:val="20"/>
                <w:u w:val="none"/>
                <w:lang w:eastAsia="ko-KR"/>
              </w:rPr>
              <w:t>Link Recovery Procedure</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Reuse the principle from the legacy Link Recovery Procedure requirements as baseline for ATG</w:t>
            </w:r>
          </w:p>
          <w:p>
            <w:pPr>
              <w:keepNext w:val="0"/>
              <w:keepLines w:val="0"/>
              <w:pageBreakBefore w:val="0"/>
              <w:numPr>
                <w:ilvl w:val="1"/>
                <w:numId w:val="5"/>
              </w:numPr>
              <w:kinsoku/>
              <w:wordWrap/>
              <w:overflowPunct/>
              <w:topLinePunct w:val="0"/>
              <w:autoSpaceDE w:val="0"/>
              <w:autoSpaceDN w:val="0"/>
              <w:bidi w:val="0"/>
              <w:adjustRightInd w:val="0"/>
              <w:spacing w:line="360" w:lineRule="auto"/>
              <w:ind w:left="1355" w:leftChars="0" w:hanging="357"/>
              <w:textAlignment w:val="auto"/>
              <w:rPr>
                <w:sz w:val="20"/>
                <w:szCs w:val="20"/>
              </w:rPr>
            </w:pPr>
            <w:r>
              <w:rPr>
                <w:sz w:val="20"/>
                <w:szCs w:val="20"/>
              </w:rPr>
              <w:t>Further discuss whether ATG specific impaction should be involved.</w:t>
            </w:r>
          </w:p>
          <w:p>
            <w:pPr>
              <w:keepNext w:val="0"/>
              <w:keepLines w:val="0"/>
              <w:pageBreakBefore w:val="0"/>
              <w:kinsoku/>
              <w:wordWrap/>
              <w:overflowPunct/>
              <w:topLinePunct w:val="0"/>
              <w:autoSpaceDE w:val="0"/>
              <w:autoSpaceDN w:val="0"/>
              <w:bidi w:val="0"/>
              <w:adjustRightInd w:val="0"/>
              <w:spacing w:line="360" w:lineRule="auto"/>
              <w:textAlignment w:val="auto"/>
              <w:rPr>
                <w:b/>
                <w:sz w:val="20"/>
                <w:szCs w:val="20"/>
                <w:u w:val="none"/>
                <w:lang w:eastAsia="ko-KR"/>
              </w:rPr>
            </w:pPr>
            <w:r>
              <w:rPr>
                <w:b/>
                <w:sz w:val="20"/>
                <w:szCs w:val="20"/>
                <w:u w:val="none"/>
                <w:lang w:eastAsia="ko-KR"/>
              </w:rPr>
              <w:t>Active BWP switching delay</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Reuse the principle from the legacy Active BWP switching delay requirements as baseline for ATG</w:t>
            </w:r>
          </w:p>
          <w:p>
            <w:pPr>
              <w:keepNext w:val="0"/>
              <w:keepLines w:val="0"/>
              <w:pageBreakBefore w:val="0"/>
              <w:numPr>
                <w:ilvl w:val="1"/>
                <w:numId w:val="5"/>
              </w:numPr>
              <w:kinsoku/>
              <w:wordWrap/>
              <w:overflowPunct/>
              <w:topLinePunct w:val="0"/>
              <w:autoSpaceDE w:val="0"/>
              <w:autoSpaceDN w:val="0"/>
              <w:bidi w:val="0"/>
              <w:adjustRightInd w:val="0"/>
              <w:spacing w:line="360" w:lineRule="auto"/>
              <w:ind w:left="1355" w:leftChars="0" w:hanging="357"/>
              <w:textAlignment w:val="auto"/>
              <w:rPr>
                <w:sz w:val="20"/>
                <w:szCs w:val="20"/>
              </w:rPr>
            </w:pPr>
            <w:r>
              <w:rPr>
                <w:sz w:val="20"/>
                <w:szCs w:val="20"/>
              </w:rPr>
              <w:t>Further discuss whether ATG specific impaction should be involved.</w:t>
            </w:r>
          </w:p>
          <w:p>
            <w:pPr>
              <w:keepNext w:val="0"/>
              <w:keepLines w:val="0"/>
              <w:pageBreakBefore w:val="0"/>
              <w:kinsoku/>
              <w:wordWrap/>
              <w:overflowPunct/>
              <w:topLinePunct w:val="0"/>
              <w:autoSpaceDE w:val="0"/>
              <w:autoSpaceDN w:val="0"/>
              <w:bidi w:val="0"/>
              <w:adjustRightInd w:val="0"/>
              <w:spacing w:line="360" w:lineRule="auto"/>
              <w:textAlignment w:val="auto"/>
              <w:rPr>
                <w:rFonts w:eastAsia="宋体"/>
                <w:b/>
                <w:sz w:val="20"/>
                <w:szCs w:val="20"/>
                <w:u w:val="none"/>
                <w:lang w:eastAsia="ko-KR"/>
              </w:rPr>
            </w:pPr>
            <w:r>
              <w:rPr>
                <w:b/>
                <w:sz w:val="20"/>
                <w:szCs w:val="20"/>
                <w:u w:val="none"/>
                <w:lang w:eastAsia="ko-KR"/>
              </w:rPr>
              <w:t>Active TCI state switching delay</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Reuse the principle from the legacy Active TCI state switching delay requirements as baseline for ATG</w:t>
            </w:r>
          </w:p>
          <w:p>
            <w:pPr>
              <w:keepNext w:val="0"/>
              <w:keepLines w:val="0"/>
              <w:pageBreakBefore w:val="0"/>
              <w:numPr>
                <w:ilvl w:val="1"/>
                <w:numId w:val="5"/>
              </w:numPr>
              <w:kinsoku/>
              <w:wordWrap/>
              <w:overflowPunct/>
              <w:topLinePunct w:val="0"/>
              <w:autoSpaceDE w:val="0"/>
              <w:autoSpaceDN w:val="0"/>
              <w:bidi w:val="0"/>
              <w:adjustRightInd w:val="0"/>
              <w:spacing w:line="360" w:lineRule="auto"/>
              <w:ind w:left="1355" w:leftChars="0" w:hanging="357"/>
              <w:textAlignment w:val="auto"/>
              <w:rPr>
                <w:sz w:val="20"/>
                <w:szCs w:val="20"/>
              </w:rPr>
            </w:pPr>
            <w:r>
              <w:rPr>
                <w:sz w:val="20"/>
                <w:szCs w:val="20"/>
              </w:rPr>
              <w:t>Further discuss whether ATG specific impaction should be involved.</w:t>
            </w:r>
          </w:p>
          <w:p>
            <w:pPr>
              <w:keepNext w:val="0"/>
              <w:keepLines w:val="0"/>
              <w:pageBreakBefore w:val="0"/>
              <w:kinsoku/>
              <w:wordWrap/>
              <w:overflowPunct/>
              <w:topLinePunct w:val="0"/>
              <w:autoSpaceDE w:val="0"/>
              <w:autoSpaceDN w:val="0"/>
              <w:bidi w:val="0"/>
              <w:adjustRightInd w:val="0"/>
              <w:spacing w:line="360" w:lineRule="auto"/>
              <w:textAlignment w:val="auto"/>
              <w:rPr>
                <w:b/>
                <w:sz w:val="20"/>
                <w:szCs w:val="20"/>
                <w:u w:val="none"/>
                <w:lang w:eastAsia="ko-KR"/>
              </w:rPr>
            </w:pPr>
            <w:r>
              <w:rPr>
                <w:b/>
                <w:sz w:val="20"/>
                <w:szCs w:val="20"/>
                <w:u w:val="none"/>
                <w:lang w:eastAsia="ko-KR"/>
              </w:rPr>
              <w:t>Active spatial relation switch delay</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Reuse the principle from the legacy Active spatial relation switch delay requirements as baseline for ATG</w:t>
            </w:r>
          </w:p>
          <w:p>
            <w:pPr>
              <w:keepNext w:val="0"/>
              <w:keepLines w:val="0"/>
              <w:pageBreakBefore w:val="0"/>
              <w:numPr>
                <w:ilvl w:val="1"/>
                <w:numId w:val="5"/>
              </w:numPr>
              <w:kinsoku/>
              <w:wordWrap/>
              <w:overflowPunct/>
              <w:topLinePunct w:val="0"/>
              <w:autoSpaceDE w:val="0"/>
              <w:autoSpaceDN w:val="0"/>
              <w:bidi w:val="0"/>
              <w:adjustRightInd w:val="0"/>
              <w:spacing w:line="360" w:lineRule="auto"/>
              <w:ind w:left="1355" w:leftChars="0" w:hanging="357"/>
              <w:textAlignment w:val="auto"/>
              <w:rPr>
                <w:sz w:val="20"/>
                <w:szCs w:val="20"/>
              </w:rPr>
            </w:pPr>
            <w:r>
              <w:rPr>
                <w:sz w:val="20"/>
                <w:szCs w:val="20"/>
              </w:rPr>
              <w:t>Further discuss whether ATG specific impaction should be involved.</w:t>
            </w:r>
          </w:p>
          <w:p>
            <w:pPr>
              <w:keepNext w:val="0"/>
              <w:keepLines w:val="0"/>
              <w:pageBreakBefore w:val="0"/>
              <w:kinsoku/>
              <w:wordWrap/>
              <w:overflowPunct/>
              <w:topLinePunct w:val="0"/>
              <w:autoSpaceDE w:val="0"/>
              <w:autoSpaceDN w:val="0"/>
              <w:bidi w:val="0"/>
              <w:adjustRightInd w:val="0"/>
              <w:spacing w:line="360" w:lineRule="auto"/>
              <w:textAlignment w:val="auto"/>
              <w:rPr>
                <w:rFonts w:eastAsia="宋体"/>
                <w:b/>
                <w:sz w:val="20"/>
                <w:szCs w:val="20"/>
                <w:u w:val="none"/>
                <w:lang w:eastAsia="ko-KR"/>
              </w:rPr>
            </w:pPr>
            <w:r>
              <w:rPr>
                <w:b/>
                <w:sz w:val="20"/>
                <w:szCs w:val="20"/>
                <w:u w:val="none"/>
                <w:lang w:eastAsia="ko-KR"/>
              </w:rPr>
              <w:t>Pathloss reference signal switching delay</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Reuse the principle from the legacy Pathloss reference signal switching delay requirements as baseline for ATG</w:t>
            </w:r>
          </w:p>
          <w:p>
            <w:pPr>
              <w:keepNext w:val="0"/>
              <w:keepLines w:val="0"/>
              <w:pageBreakBefore w:val="0"/>
              <w:numPr>
                <w:ilvl w:val="1"/>
                <w:numId w:val="5"/>
              </w:numPr>
              <w:kinsoku/>
              <w:wordWrap/>
              <w:overflowPunct/>
              <w:topLinePunct w:val="0"/>
              <w:autoSpaceDE w:val="0"/>
              <w:autoSpaceDN w:val="0"/>
              <w:bidi w:val="0"/>
              <w:adjustRightInd w:val="0"/>
              <w:spacing w:line="360" w:lineRule="auto"/>
              <w:ind w:left="1355" w:leftChars="0" w:hanging="357"/>
              <w:textAlignment w:val="auto"/>
              <w:rPr>
                <w:sz w:val="20"/>
                <w:szCs w:val="20"/>
              </w:rPr>
            </w:pPr>
            <w:r>
              <w:rPr>
                <w:sz w:val="20"/>
                <w:szCs w:val="20"/>
              </w:rPr>
              <w:t>Further discuss whether ATG specific impaction should be involved.</w:t>
            </w:r>
          </w:p>
          <w:p>
            <w:pPr>
              <w:keepNext w:val="0"/>
              <w:keepLines w:val="0"/>
              <w:pageBreakBefore w:val="0"/>
              <w:numPr>
                <w:ilvl w:val="0"/>
                <w:numId w:val="0"/>
              </w:numPr>
              <w:kinsoku/>
              <w:wordWrap/>
              <w:overflowPunct/>
              <w:topLinePunct w:val="0"/>
              <w:autoSpaceDE w:val="0"/>
              <w:autoSpaceDN w:val="0"/>
              <w:bidi w:val="0"/>
              <w:adjustRightInd w:val="0"/>
              <w:spacing w:line="360" w:lineRule="auto"/>
              <w:textAlignment w:val="auto"/>
              <w:rPr>
                <w:rFonts w:hint="eastAsia"/>
                <w:b/>
                <w:bCs/>
                <w:u w:val="single"/>
                <w:lang w:val="en-US" w:eastAsia="zh-CN"/>
              </w:rPr>
            </w:pPr>
            <w:r>
              <w:rPr>
                <w:rFonts w:hint="eastAsia"/>
                <w:b/>
                <w:bCs/>
                <w:u w:val="single"/>
                <w:lang w:val="en-US" w:eastAsia="zh-CN"/>
              </w:rPr>
              <w:t>Measurement:</w:t>
            </w:r>
          </w:p>
          <w:p>
            <w:pPr>
              <w:keepNext w:val="0"/>
              <w:keepLines w:val="0"/>
              <w:pageBreakBefore w:val="0"/>
              <w:kinsoku/>
              <w:wordWrap/>
              <w:overflowPunct/>
              <w:topLinePunct w:val="0"/>
              <w:autoSpaceDE w:val="0"/>
              <w:autoSpaceDN w:val="0"/>
              <w:bidi w:val="0"/>
              <w:adjustRightInd w:val="0"/>
              <w:spacing w:line="360" w:lineRule="auto"/>
              <w:textAlignment w:val="auto"/>
              <w:rPr>
                <w:b/>
                <w:sz w:val="20"/>
                <w:szCs w:val="20"/>
                <w:u w:val="none"/>
                <w:lang w:eastAsia="ko-KR"/>
              </w:rPr>
            </w:pPr>
            <w:r>
              <w:rPr>
                <w:b/>
                <w:sz w:val="20"/>
                <w:szCs w:val="20"/>
                <w:u w:val="none"/>
                <w:lang w:eastAsia="ko-KR"/>
              </w:rPr>
              <w:t xml:space="preserve">NR intra-frequency measurements </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Reuse the principle from the legacy R15 NR intra-frequency measurements as baseline for ATG</w:t>
            </w:r>
          </w:p>
          <w:p>
            <w:pPr>
              <w:keepNext w:val="0"/>
              <w:keepLines w:val="0"/>
              <w:pageBreakBefore w:val="0"/>
              <w:numPr>
                <w:ilvl w:val="1"/>
                <w:numId w:val="5"/>
              </w:numPr>
              <w:kinsoku/>
              <w:wordWrap/>
              <w:overflowPunct/>
              <w:topLinePunct w:val="0"/>
              <w:autoSpaceDE w:val="0"/>
              <w:autoSpaceDN w:val="0"/>
              <w:bidi w:val="0"/>
              <w:adjustRightInd w:val="0"/>
              <w:spacing w:line="360" w:lineRule="auto"/>
              <w:ind w:left="1355" w:leftChars="0" w:hanging="357"/>
              <w:textAlignment w:val="auto"/>
              <w:rPr>
                <w:sz w:val="20"/>
                <w:szCs w:val="20"/>
              </w:rPr>
            </w:pPr>
            <w:r>
              <w:rPr>
                <w:sz w:val="20"/>
                <w:szCs w:val="20"/>
              </w:rPr>
              <w:t>Further discuss whether ATG specific impaction should be involved, such as CSSF and so on.</w:t>
            </w:r>
          </w:p>
          <w:p>
            <w:pPr>
              <w:keepNext w:val="0"/>
              <w:keepLines w:val="0"/>
              <w:pageBreakBefore w:val="0"/>
              <w:kinsoku/>
              <w:wordWrap/>
              <w:overflowPunct/>
              <w:topLinePunct w:val="0"/>
              <w:autoSpaceDE w:val="0"/>
              <w:autoSpaceDN w:val="0"/>
              <w:bidi w:val="0"/>
              <w:adjustRightInd w:val="0"/>
              <w:spacing w:line="360" w:lineRule="auto"/>
              <w:textAlignment w:val="auto"/>
              <w:rPr>
                <w:b/>
                <w:sz w:val="20"/>
                <w:szCs w:val="20"/>
                <w:u w:val="none"/>
                <w:lang w:eastAsia="ko-KR"/>
              </w:rPr>
            </w:pPr>
            <w:r>
              <w:rPr>
                <w:b/>
                <w:sz w:val="20"/>
                <w:szCs w:val="20"/>
                <w:u w:val="none"/>
                <w:lang w:eastAsia="ko-KR"/>
              </w:rPr>
              <w:t>NR inter-frequency measurements</w:t>
            </w:r>
          </w:p>
          <w:p>
            <w:pPr>
              <w:keepNext w:val="0"/>
              <w:keepLines w:val="0"/>
              <w:pageBreakBefore w:val="0"/>
              <w:numPr>
                <w:ilvl w:val="0"/>
                <w:numId w:val="5"/>
              </w:numPr>
              <w:kinsoku/>
              <w:wordWrap/>
              <w:overflowPunct/>
              <w:topLinePunct w:val="0"/>
              <w:autoSpaceDE w:val="0"/>
              <w:autoSpaceDN w:val="0"/>
              <w:bidi w:val="0"/>
              <w:adjustRightInd w:val="0"/>
              <w:spacing w:line="360" w:lineRule="auto"/>
              <w:ind w:left="935" w:hanging="357"/>
              <w:textAlignment w:val="auto"/>
              <w:rPr>
                <w:sz w:val="20"/>
                <w:szCs w:val="20"/>
              </w:rPr>
            </w:pPr>
            <w:r>
              <w:rPr>
                <w:sz w:val="20"/>
                <w:szCs w:val="20"/>
              </w:rPr>
              <w:t>Reuse the principle from the legacy R15 NR inter-frequency measurements as baseline for ATG</w:t>
            </w:r>
          </w:p>
          <w:p>
            <w:pPr>
              <w:keepNext w:val="0"/>
              <w:keepLines w:val="0"/>
              <w:pageBreakBefore w:val="0"/>
              <w:numPr>
                <w:ilvl w:val="1"/>
                <w:numId w:val="5"/>
              </w:numPr>
              <w:kinsoku/>
              <w:wordWrap/>
              <w:overflowPunct/>
              <w:topLinePunct w:val="0"/>
              <w:autoSpaceDE w:val="0"/>
              <w:autoSpaceDN w:val="0"/>
              <w:bidi w:val="0"/>
              <w:adjustRightInd w:val="0"/>
              <w:spacing w:line="360" w:lineRule="auto"/>
              <w:ind w:left="1355" w:leftChars="0" w:hanging="357"/>
              <w:textAlignment w:val="auto"/>
              <w:rPr>
                <w:sz w:val="20"/>
                <w:szCs w:val="20"/>
              </w:rPr>
            </w:pPr>
            <w:r>
              <w:rPr>
                <w:sz w:val="20"/>
                <w:szCs w:val="20"/>
              </w:rPr>
              <w:t>Further discuss whether ATG specific impaction should be involved.</w:t>
            </w:r>
          </w:p>
          <w:p>
            <w:pPr>
              <w:keepNext w:val="0"/>
              <w:keepLines w:val="0"/>
              <w:pageBreakBefore w:val="0"/>
              <w:kinsoku/>
              <w:wordWrap/>
              <w:overflowPunct/>
              <w:topLinePunct w:val="0"/>
              <w:autoSpaceDE w:val="0"/>
              <w:autoSpaceDN w:val="0"/>
              <w:bidi w:val="0"/>
              <w:adjustRightInd w:val="0"/>
              <w:spacing w:line="360" w:lineRule="auto"/>
              <w:textAlignment w:val="auto"/>
              <w:rPr>
                <w:b/>
                <w:sz w:val="20"/>
                <w:szCs w:val="20"/>
                <w:u w:val="none"/>
                <w:lang w:eastAsia="ko-KR"/>
              </w:rPr>
            </w:pPr>
            <w:r>
              <w:rPr>
                <w:b/>
                <w:sz w:val="20"/>
                <w:szCs w:val="20"/>
                <w:u w:val="none"/>
                <w:lang w:eastAsia="ko-KR"/>
              </w:rPr>
              <w:t xml:space="preserve">L1-RSRP and L1-SINR measurements for Reporting </w:t>
            </w:r>
          </w:p>
          <w:p>
            <w:pPr>
              <w:pStyle w:val="27"/>
              <w:keepNext w:val="0"/>
              <w:keepLines w:val="0"/>
              <w:pageBreakBefore w:val="0"/>
              <w:numPr>
                <w:ilvl w:val="0"/>
                <w:numId w:val="5"/>
              </w:numPr>
              <w:kinsoku/>
              <w:wordWrap/>
              <w:overflowPunct/>
              <w:topLinePunct w:val="0"/>
              <w:autoSpaceDE w:val="0"/>
              <w:autoSpaceDN w:val="0"/>
              <w:bidi w:val="0"/>
              <w:adjustRightInd w:val="0"/>
              <w:spacing w:line="360" w:lineRule="auto"/>
              <w:ind w:firstLineChars="0"/>
              <w:textAlignment w:val="auto"/>
              <w:rPr>
                <w:rFonts w:hint="default"/>
                <w:lang w:val="en-US" w:eastAsia="zh-CN"/>
              </w:rPr>
            </w:pPr>
            <w:r>
              <w:rPr>
                <w:rFonts w:ascii="Times New Roman" w:hAnsi="Times New Roman" w:eastAsia="Times New Roman" w:cs="Times New Roman"/>
                <w:kern w:val="0"/>
                <w:sz w:val="20"/>
                <w:szCs w:val="20"/>
                <w:lang w:val="en-US" w:eastAsia="en-US" w:bidi="ar-SA"/>
              </w:rPr>
              <w:t>No new specific L1-RSRP and L1-SINR measurements for Reporting requirements for ATG are need to be developed.</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further analysis on RRM aspects of ATG based on the multiple new characteristics of ATG compared with traditional fully ground based systems.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characteristics of ATG system, the following key points should be noted:</w:t>
      </w:r>
    </w:p>
    <w:p>
      <w:pPr>
        <w:numPr>
          <w:ilvl w:val="0"/>
          <w:numId w:val="6"/>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6"/>
        </w:numPr>
        <w:ind w:left="420" w:leftChars="0" w:hanging="420" w:firstLineChars="0"/>
        <w:rPr>
          <w:rFonts w:hint="default"/>
          <w:lang w:val="en-US" w:eastAsia="zh-CN"/>
        </w:rPr>
      </w:pPr>
      <w:r>
        <w:rPr>
          <w:rFonts w:hint="eastAsia"/>
          <w:lang w:val="en-US" w:eastAsia="zh-CN"/>
        </w:rPr>
        <w:t>Extremely large coverage range, e.g. up to 300km cell coverage range</w:t>
      </w:r>
    </w:p>
    <w:p>
      <w:pPr>
        <w:numPr>
          <w:ilvl w:val="0"/>
          <w:numId w:val="6"/>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6"/>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6"/>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6"/>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6"/>
        </w:numPr>
        <w:ind w:left="420" w:leftChars="0" w:hanging="420" w:firstLineChars="0"/>
        <w:rPr>
          <w:rFonts w:hint="default"/>
          <w:lang w:val="en-US" w:eastAsia="zh-CN"/>
        </w:rPr>
      </w:pPr>
      <w:r>
        <w:rPr>
          <w:rFonts w:hint="eastAsia"/>
          <w:lang w:val="en-US" w:eastAsia="zh-CN"/>
        </w:rPr>
        <w:t>Height of CPE: 3km--12km</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analysis for multiple RRM aspects given all the above key points of ATG system.</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2.1 Timing and frequency adjustment</w:t>
      </w:r>
    </w:p>
    <w:p>
      <w:pPr>
        <w:pStyle w:val="5"/>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2.1.1 The mechanism of </w:t>
      </w:r>
      <w:r>
        <w:rPr>
          <w:rFonts w:eastAsia="宋体" w:cs="Times New Roman"/>
          <w:sz w:val="28"/>
          <w:szCs w:val="28"/>
        </w:rPr>
        <w:t>K</w:t>
      </w:r>
      <w:r>
        <w:rPr>
          <w:rFonts w:eastAsia="宋体" w:cs="Times New Roman"/>
          <w:sz w:val="28"/>
          <w:szCs w:val="28"/>
          <w:vertAlign w:val="subscript"/>
        </w:rPr>
        <w:t>offset</w:t>
      </w:r>
      <w:r>
        <w:rPr>
          <w:rFonts w:hint="eastAsia" w:ascii="Helvetica" w:hAnsi="Helvetica" w:eastAsia="宋体" w:cs="Times New Roman"/>
          <w:b/>
          <w:bCs/>
          <w:iCs w:val="0"/>
          <w:color w:val="auto"/>
          <w:kern w:val="32"/>
          <w:sz w:val="28"/>
          <w:szCs w:val="32"/>
          <w:lang w:val="en-US" w:eastAsia="zh-CN" w:bidi="ar-SA"/>
        </w:rPr>
        <w:t xml:space="preserve"> and </w:t>
      </w:r>
      <w:r>
        <w:rPr>
          <w:rFonts w:eastAsia="宋体" w:cs="Times New Roman"/>
          <w:sz w:val="28"/>
          <w:szCs w:val="28"/>
        </w:rPr>
        <w:t>K</w:t>
      </w:r>
      <w:r>
        <w:rPr>
          <w:rFonts w:eastAsia="宋体" w:cs="Times New Roman"/>
          <w:sz w:val="28"/>
          <w:szCs w:val="28"/>
          <w:vertAlign w:val="subscript"/>
        </w:rPr>
        <w:t>mac</w:t>
      </w:r>
      <w:r>
        <w:rPr>
          <w:rFonts w:eastAsia="宋体" w:cs="Times New Roman"/>
          <w:sz w:val="28"/>
          <w:szCs w:val="28"/>
        </w:rPr>
        <w:t xml:space="preserve"> </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In NTN system, </w:t>
      </w:r>
      <w:r>
        <w:rPr>
          <w:rFonts w:eastAsia="宋体" w:cs="Times New Roman"/>
          <w:sz w:val="20"/>
          <w:szCs w:val="20"/>
        </w:rPr>
        <w:t>K</w:t>
      </w:r>
      <w:r>
        <w:rPr>
          <w:rFonts w:eastAsia="宋体" w:cs="Times New Roman"/>
          <w:sz w:val="20"/>
          <w:szCs w:val="20"/>
          <w:vertAlign w:val="subscript"/>
        </w:rPr>
        <w:t>offset</w:t>
      </w:r>
      <w:r>
        <w:rPr>
          <w:rFonts w:hint="eastAsia" w:eastAsia="宋体"/>
          <w:color w:val="auto"/>
          <w:sz w:val="20"/>
          <w:szCs w:val="20"/>
          <w:lang w:val="en-US" w:eastAsia="zh-CN"/>
        </w:rPr>
        <w:t xml:space="preserve"> and </w:t>
      </w:r>
      <w:r>
        <w:rPr>
          <w:rFonts w:eastAsia="宋体" w:cs="Times New Roman"/>
          <w:sz w:val="20"/>
          <w:szCs w:val="20"/>
        </w:rPr>
        <w:t>K</w:t>
      </w:r>
      <w:r>
        <w:rPr>
          <w:rFonts w:eastAsia="宋体" w:cs="Times New Roman"/>
          <w:sz w:val="20"/>
          <w:szCs w:val="20"/>
          <w:vertAlign w:val="subscript"/>
        </w:rPr>
        <w:t>mac</w:t>
      </w:r>
      <w:r>
        <w:rPr>
          <w:rFonts w:hint="eastAsia" w:eastAsia="宋体"/>
          <w:color w:val="auto"/>
          <w:sz w:val="20"/>
          <w:szCs w:val="20"/>
          <w:lang w:val="en-US" w:eastAsia="zh-CN"/>
        </w:rPr>
        <w:t xml:space="preserve"> were introduced to overcome the UL timing issue. </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Kmac is the time between reference point and gNB, which belongs to the feeder link and can be transparent to UE. While in ATG, not any feeder link existence, so we can not see the usage of </w:t>
      </w:r>
      <w:r>
        <w:rPr>
          <w:rFonts w:eastAsia="宋体" w:cs="Times New Roman"/>
          <w:sz w:val="20"/>
          <w:szCs w:val="20"/>
        </w:rPr>
        <w:t>K</w:t>
      </w:r>
      <w:r>
        <w:rPr>
          <w:rFonts w:eastAsia="宋体" w:cs="Times New Roman"/>
          <w:sz w:val="20"/>
          <w:szCs w:val="20"/>
          <w:vertAlign w:val="subscript"/>
        </w:rPr>
        <w:t>mac</w:t>
      </w:r>
      <w:r>
        <w:rPr>
          <w:rFonts w:hint="eastAsia" w:eastAsia="宋体"/>
          <w:color w:val="auto"/>
          <w:sz w:val="20"/>
          <w:szCs w:val="20"/>
          <w:lang w:val="en-US" w:eastAsia="zh-CN"/>
        </w:rPr>
        <w:t xml:space="preserve"> for ATG.</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Referring to </w:t>
      </w:r>
      <w:r>
        <w:rPr>
          <w:rFonts w:eastAsia="宋体" w:cs="Times New Roman"/>
          <w:sz w:val="20"/>
          <w:szCs w:val="20"/>
        </w:rPr>
        <w:t>K</w:t>
      </w:r>
      <w:r>
        <w:rPr>
          <w:rFonts w:eastAsia="宋体" w:cs="Times New Roman"/>
          <w:sz w:val="20"/>
          <w:szCs w:val="20"/>
          <w:vertAlign w:val="subscript"/>
        </w:rPr>
        <w:t>offset</w:t>
      </w:r>
      <w:r>
        <w:rPr>
          <w:rFonts w:hint="eastAsia" w:eastAsia="宋体"/>
          <w:color w:val="auto"/>
          <w:sz w:val="20"/>
          <w:szCs w:val="20"/>
          <w:lang w:val="en-US" w:eastAsia="zh-CN"/>
        </w:rPr>
        <w:t xml:space="preserve">, aims to avoid the out-of-order between DCI receiving the scheduled PUSCH transmission due to large RTT, </w:t>
      </w:r>
      <w:r>
        <w:rPr>
          <w:rFonts w:eastAsia="宋体" w:cs="Times New Roman"/>
          <w:sz w:val="20"/>
          <w:szCs w:val="20"/>
        </w:rPr>
        <w:t>K</w:t>
      </w:r>
      <w:r>
        <w:rPr>
          <w:rFonts w:eastAsia="宋体" w:cs="Times New Roman"/>
          <w:sz w:val="20"/>
          <w:szCs w:val="20"/>
          <w:vertAlign w:val="subscript"/>
        </w:rPr>
        <w:t>offset</w:t>
      </w:r>
      <w:r>
        <w:rPr>
          <w:rFonts w:hint="eastAsia" w:eastAsia="宋体"/>
          <w:color w:val="auto"/>
          <w:sz w:val="20"/>
          <w:szCs w:val="20"/>
          <w:lang w:val="en-US" w:eastAsia="zh-CN"/>
        </w:rPr>
        <w:t xml:space="preserve"> was introduced into NTN so that the timing line between DCI and scheduling PUSCH is no longer n+k, but n+k+</w:t>
      </w:r>
      <w:r>
        <w:rPr>
          <w:rFonts w:eastAsia="宋体" w:cs="Times New Roman"/>
          <w:sz w:val="20"/>
          <w:szCs w:val="20"/>
        </w:rPr>
        <w:t>K</w:t>
      </w:r>
      <w:r>
        <w:rPr>
          <w:rFonts w:eastAsia="宋体" w:cs="Times New Roman"/>
          <w:sz w:val="20"/>
          <w:szCs w:val="20"/>
          <w:vertAlign w:val="subscript"/>
        </w:rPr>
        <w:t>offset</w:t>
      </w:r>
      <w:r>
        <w:rPr>
          <w:rFonts w:hint="eastAsia" w:eastAsia="宋体"/>
          <w:color w:val="auto"/>
          <w:sz w:val="20"/>
          <w:szCs w:val="20"/>
          <w:lang w:val="en-US" w:eastAsia="zh-CN"/>
        </w:rPr>
        <w:t xml:space="preserve">. In ATG, the RTT for cell edge UE under extreme case of 300 km cell coverage is about 2 ms, so we are open to discuss whether introduce </w:t>
      </w:r>
      <w:r>
        <w:rPr>
          <w:rFonts w:eastAsia="宋体" w:cs="Times New Roman"/>
          <w:sz w:val="20"/>
          <w:szCs w:val="20"/>
        </w:rPr>
        <w:t>K</w:t>
      </w:r>
      <w:r>
        <w:rPr>
          <w:rFonts w:eastAsia="宋体" w:cs="Times New Roman"/>
          <w:sz w:val="20"/>
          <w:szCs w:val="20"/>
          <w:vertAlign w:val="subscript"/>
        </w:rPr>
        <w:t>offset</w:t>
      </w:r>
      <w:r>
        <w:rPr>
          <w:rFonts w:hint="eastAsia" w:eastAsia="宋体"/>
          <w:color w:val="auto"/>
          <w:sz w:val="20"/>
          <w:szCs w:val="20"/>
          <w:lang w:val="en-US" w:eastAsia="zh-CN"/>
        </w:rPr>
        <w:t xml:space="preserve"> for ATG.</w:t>
      </w:r>
    </w:p>
    <w:p>
      <w:pPr>
        <w:pStyle w:val="4"/>
        <w:rPr>
          <w:rFonts w:hint="default"/>
          <w:lang w:val="en-US" w:eastAsia="zh-CN"/>
        </w:rPr>
      </w:pPr>
      <w:r>
        <w:rPr>
          <w:rFonts w:hint="eastAsia" w:eastAsia="宋体" w:cs="Times New Roman"/>
          <w:b/>
          <w:bCs/>
          <w:color w:val="auto"/>
          <w:sz w:val="20"/>
          <w:szCs w:val="20"/>
          <w:highlight w:val="none"/>
          <w:lang w:val="en-US" w:eastAsia="zh-CN" w:bidi="ar-SA"/>
        </w:rPr>
        <w:t xml:space="preserve">Proposal 1: Referring to whether need to introduce </w:t>
      </w:r>
      <w:r>
        <w:rPr>
          <w:rFonts w:eastAsia="宋体" w:cs="Times New Roman"/>
          <w:b/>
          <w:bCs/>
          <w:sz w:val="20"/>
          <w:szCs w:val="20"/>
        </w:rPr>
        <w:t>K</w:t>
      </w:r>
      <w:r>
        <w:rPr>
          <w:rFonts w:eastAsia="宋体" w:cs="Times New Roman"/>
          <w:b/>
          <w:bCs/>
          <w:sz w:val="20"/>
          <w:szCs w:val="20"/>
          <w:vertAlign w:val="subscript"/>
        </w:rPr>
        <w:t>offset</w:t>
      </w:r>
      <w:r>
        <w:rPr>
          <w:rFonts w:hint="eastAsia" w:eastAsia="宋体"/>
          <w:b/>
          <w:bCs/>
          <w:color w:val="auto"/>
          <w:sz w:val="20"/>
          <w:szCs w:val="20"/>
          <w:lang w:val="en-US" w:eastAsia="zh-CN"/>
        </w:rPr>
        <w:t xml:space="preserve"> and </w:t>
      </w:r>
      <w:r>
        <w:rPr>
          <w:rFonts w:eastAsia="宋体" w:cs="Times New Roman"/>
          <w:b/>
          <w:bCs/>
          <w:sz w:val="20"/>
          <w:szCs w:val="20"/>
        </w:rPr>
        <w:t>K</w:t>
      </w:r>
      <w:r>
        <w:rPr>
          <w:rFonts w:eastAsia="宋体" w:cs="Times New Roman"/>
          <w:b/>
          <w:bCs/>
          <w:sz w:val="20"/>
          <w:szCs w:val="20"/>
          <w:vertAlign w:val="subscript"/>
        </w:rPr>
        <w:t>mac</w:t>
      </w:r>
      <w:r>
        <w:rPr>
          <w:rFonts w:hint="eastAsia" w:eastAsia="宋体"/>
          <w:b/>
          <w:bCs/>
          <w:color w:val="auto"/>
          <w:sz w:val="20"/>
          <w:szCs w:val="20"/>
          <w:lang w:val="en-US" w:eastAsia="zh-CN"/>
        </w:rPr>
        <w:t xml:space="preserve"> identified in NTN into ATG system, for </w:t>
      </w:r>
      <w:r>
        <w:rPr>
          <w:rFonts w:eastAsia="宋体" w:cs="Times New Roman"/>
          <w:b/>
          <w:bCs/>
          <w:sz w:val="20"/>
          <w:szCs w:val="20"/>
        </w:rPr>
        <w:t>K</w:t>
      </w:r>
      <w:r>
        <w:rPr>
          <w:rFonts w:eastAsia="宋体" w:cs="Times New Roman"/>
          <w:b/>
          <w:bCs/>
          <w:sz w:val="20"/>
          <w:szCs w:val="20"/>
          <w:vertAlign w:val="subscript"/>
        </w:rPr>
        <w:t>mac</w:t>
      </w:r>
      <w:r>
        <w:rPr>
          <w:rFonts w:hint="eastAsia" w:eastAsia="宋体"/>
          <w:b/>
          <w:bCs/>
          <w:color w:val="auto"/>
          <w:sz w:val="20"/>
          <w:szCs w:val="20"/>
          <w:lang w:val="en-US" w:eastAsia="zh-CN"/>
        </w:rPr>
        <w:t xml:space="preserve">, not necessary since of no feeder link existence; for </w:t>
      </w:r>
      <w:r>
        <w:rPr>
          <w:rFonts w:eastAsia="宋体" w:cs="Times New Roman"/>
          <w:b/>
          <w:bCs/>
          <w:sz w:val="20"/>
          <w:szCs w:val="20"/>
        </w:rPr>
        <w:t>K</w:t>
      </w:r>
      <w:r>
        <w:rPr>
          <w:rFonts w:eastAsia="宋体" w:cs="Times New Roman"/>
          <w:b/>
          <w:bCs/>
          <w:sz w:val="20"/>
          <w:szCs w:val="20"/>
          <w:vertAlign w:val="subscript"/>
        </w:rPr>
        <w:t>offset</w:t>
      </w:r>
      <w:r>
        <w:rPr>
          <w:rFonts w:hint="eastAsia" w:eastAsia="宋体" w:cs="Times New Roman"/>
          <w:b/>
          <w:bCs/>
          <w:color w:val="auto"/>
          <w:sz w:val="20"/>
          <w:szCs w:val="20"/>
          <w:highlight w:val="none"/>
          <w:lang w:val="en-US" w:eastAsia="zh-CN" w:bidi="ar-SA"/>
        </w:rPr>
        <w:t>, considering the RTT for cell edge UE under extreme case, we are open to discuss the necessity.</w:t>
      </w:r>
    </w:p>
    <w:p>
      <w:pPr>
        <w:pStyle w:val="4"/>
        <w:rPr>
          <w:rFonts w:hint="default" w:eastAsia="宋体"/>
          <w:color w:val="auto"/>
          <w:sz w:val="20"/>
          <w:szCs w:val="20"/>
          <w:lang w:val="en-US" w:eastAsia="zh-CN"/>
        </w:rPr>
      </w:pPr>
    </w:p>
    <w:p>
      <w:pPr>
        <w:pStyle w:val="5"/>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2.1.2 Frequency offset tracking</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Respect to this issue, the following options were kept FFS in the WF[2] achieved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numPr>
                <w:ilvl w:val="0"/>
                <w:numId w:val="5"/>
              </w:numPr>
              <w:autoSpaceDN w:val="0"/>
              <w:ind w:hanging="357" w:firstLineChars="0"/>
              <w:rPr>
                <w:rFonts w:eastAsia="宋体" w:cs="Times New Roman"/>
                <w:sz w:val="20"/>
                <w:szCs w:val="20"/>
                <w:lang w:val="en-GB"/>
              </w:rPr>
            </w:pPr>
            <w:r>
              <w:rPr>
                <w:rFonts w:eastAsia="宋体" w:cs="Times New Roman"/>
                <w:sz w:val="20"/>
                <w:szCs w:val="20"/>
              </w:rPr>
              <w:t>Option 1: The solution of frequency offset tracking in NTN system can be considered as reference for ATG system when SSB+TRS is not sufficient for some combination of frequency and SCS. (ZTE, Ericsson)</w:t>
            </w:r>
          </w:p>
          <w:p>
            <w:pPr>
              <w:pStyle w:val="27"/>
              <w:numPr>
                <w:ilvl w:val="0"/>
                <w:numId w:val="5"/>
              </w:numPr>
              <w:autoSpaceDN w:val="0"/>
              <w:ind w:hanging="357" w:firstLineChars="0"/>
              <w:rPr>
                <w:rFonts w:eastAsia="宋体" w:cs="Times New Roman"/>
                <w:sz w:val="20"/>
                <w:szCs w:val="20"/>
              </w:rPr>
            </w:pPr>
            <w:r>
              <w:rPr>
                <w:rFonts w:eastAsia="宋体" w:cs="Times New Roman"/>
                <w:sz w:val="20"/>
                <w:szCs w:val="20"/>
              </w:rPr>
              <w:t>Option 2: For n78 and n79, it is more likely to operate in 30kHz SCS. Therefore, the current frequency offset tracking method in TN can be the baseline. (CMCC)</w:t>
            </w:r>
          </w:p>
          <w:p>
            <w:pPr>
              <w:pStyle w:val="27"/>
              <w:numPr>
                <w:ilvl w:val="0"/>
                <w:numId w:val="5"/>
              </w:numPr>
              <w:autoSpaceDN w:val="0"/>
              <w:spacing w:after="120"/>
              <w:ind w:hanging="357" w:firstLineChars="0"/>
              <w:rPr>
                <w:rFonts w:hint="eastAsia" w:eastAsia="宋体"/>
                <w:color w:val="auto"/>
                <w:sz w:val="20"/>
                <w:szCs w:val="20"/>
                <w:vertAlign w:val="baseline"/>
                <w:lang w:val="en-US" w:eastAsia="zh-CN"/>
              </w:rPr>
            </w:pPr>
            <w:r>
              <w:rPr>
                <w:rFonts w:eastAsia="宋体" w:cs="Times New Roman"/>
                <w:sz w:val="20"/>
                <w:szCs w:val="20"/>
              </w:rPr>
              <w:t>Option 3: FFS (Apple)</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Firstly, since ATG terminal is in extremely high speed moving, the impact of Doppler frequency shift should be analyzed.</w:t>
      </w:r>
    </w:p>
    <w:p>
      <w:pPr>
        <w:jc w:val="both"/>
        <w:rPr>
          <w:rFonts w:hint="eastAsia" w:eastAsia="宋体"/>
          <w:szCs w:val="20"/>
          <w:lang w:val="en-US" w:eastAsia="zh-CN"/>
        </w:rPr>
      </w:pPr>
      <w:r>
        <w:rPr>
          <w:rFonts w:hint="eastAsia"/>
          <w:lang w:val="en-US" w:eastAsia="zh-CN"/>
        </w:rPr>
        <w:t xml:space="preserve">The maximum Doppler frequency shift </w:t>
      </w:r>
      <w:r>
        <w:drawing>
          <wp:inline distT="0" distB="0" distL="114300" distR="114300">
            <wp:extent cx="180975" cy="2286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180975" cy="228600"/>
                    </a:xfrm>
                    <a:prstGeom prst="rect">
                      <a:avLst/>
                    </a:prstGeom>
                    <a:noFill/>
                    <a:ln>
                      <a:noFill/>
                    </a:ln>
                  </pic:spPr>
                </pic:pic>
              </a:graphicData>
            </a:graphic>
          </wp:inline>
        </w:drawing>
      </w:r>
      <w:r>
        <w:rPr>
          <w:rFonts w:hint="eastAsia"/>
          <w:lang w:val="en-US" w:eastAsia="zh-CN"/>
        </w:rPr>
        <w:t xml:space="preserve">= f*v/light velocity, take band n79 as an example, about 5GHz, so </w:t>
      </w:r>
      <w:r>
        <w:drawing>
          <wp:inline distT="0" distB="0" distL="114300" distR="114300">
            <wp:extent cx="180975" cy="2286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180975" cy="228600"/>
                    </a:xfrm>
                    <a:prstGeom prst="rect">
                      <a:avLst/>
                    </a:prstGeom>
                    <a:noFill/>
                    <a:ln>
                      <a:noFill/>
                    </a:ln>
                  </pic:spPr>
                </pic:pic>
              </a:graphicData>
            </a:graphic>
          </wp:inline>
        </w:drawing>
      </w:r>
      <w:r>
        <w:rPr>
          <w:rFonts w:hint="eastAsia"/>
          <w:lang w:val="en-US" w:eastAsia="zh-CN"/>
        </w:rPr>
        <w:t xml:space="preserve">=5500 Hz. </w:t>
      </w:r>
      <w:r>
        <w:rPr>
          <w:lang w:eastAsia="zh-CN"/>
        </w:rPr>
        <w:t>Generally, SSB will be used for initial timing/frequency tracking. It is expected that the residual frequency offset can be handled by other RS, such as DMRS, PTRS or TRS, considering th</w:t>
      </w:r>
      <w:r>
        <w:rPr>
          <w:highlight w:val="none"/>
          <w:lang w:eastAsia="zh-CN"/>
        </w:rPr>
        <w:t>e gap between adjacent RS in SSB is 2</w:t>
      </w:r>
      <w:r>
        <w:rPr>
          <w:lang w:eastAsia="zh-CN"/>
        </w:rPr>
        <w:t xml:space="preserve">, which can achieve better Doppler tracking capability. </w:t>
      </w:r>
      <w:r>
        <w:rPr>
          <w:rFonts w:hint="eastAsia"/>
          <w:lang w:val="en-US" w:eastAsia="zh-CN"/>
        </w:rPr>
        <w:t>For 30kHz SCS</w:t>
      </w:r>
      <w:r>
        <w:rPr>
          <w:lang w:eastAsia="zh-CN"/>
        </w:rPr>
        <w:t xml:space="preserve">, </w:t>
      </w:r>
      <w:r>
        <w:rPr>
          <w:szCs w:val="20"/>
        </w:rPr>
        <w:t>SSB+TRS is feasible implementation for frequency offset tracking to support</w:t>
      </w:r>
      <w:r>
        <w:rPr>
          <w:rFonts w:hint="eastAsia"/>
          <w:szCs w:val="20"/>
          <w:lang w:val="en-US" w:eastAsia="zh-CN"/>
        </w:rPr>
        <w:t xml:space="preserve"> 1200km/h</w:t>
      </w:r>
      <w:r>
        <w:rPr>
          <w:szCs w:val="20"/>
        </w:rPr>
        <w:t xml:space="preserve"> for </w:t>
      </w:r>
      <w:r>
        <w:rPr>
          <w:rFonts w:hint="eastAsia"/>
          <w:szCs w:val="20"/>
          <w:lang w:val="en-US" w:eastAsia="zh-CN"/>
        </w:rPr>
        <w:t xml:space="preserve">ATG </w:t>
      </w:r>
      <w:r>
        <w:rPr>
          <w:szCs w:val="20"/>
        </w:rPr>
        <w:t xml:space="preserve">deployment. </w:t>
      </w:r>
      <w:r>
        <w:rPr>
          <w:rFonts w:hint="eastAsia" w:eastAsia="宋体"/>
          <w:szCs w:val="20"/>
          <w:lang w:val="en-US" w:eastAsia="zh-CN"/>
        </w:rPr>
        <w:t>However for 15kHz SCS, Neither SSB nor other RS is sufficient to compensate the Doppler shift, so two candidate solutions can be feasible:</w:t>
      </w:r>
    </w:p>
    <w:p>
      <w:pPr>
        <w:numPr>
          <w:ilvl w:val="0"/>
          <w:numId w:val="7"/>
        </w:numPr>
        <w:jc w:val="both"/>
        <w:rPr>
          <w:rFonts w:hint="default" w:eastAsia="宋体"/>
          <w:szCs w:val="20"/>
          <w:lang w:val="en-US" w:eastAsia="zh-CN"/>
        </w:rPr>
      </w:pPr>
      <w:r>
        <w:rPr>
          <w:rFonts w:hint="eastAsia" w:eastAsia="宋体"/>
          <w:szCs w:val="20"/>
          <w:lang w:val="en-US" w:eastAsia="zh-CN"/>
        </w:rPr>
        <w:t>Applying 30kHz SCS for higher frequency, such as band n70; And only applying 15kHz for lower frequency, such as band n1.</w:t>
      </w:r>
    </w:p>
    <w:p>
      <w:pPr>
        <w:numPr>
          <w:ilvl w:val="0"/>
          <w:numId w:val="7"/>
        </w:numPr>
        <w:jc w:val="both"/>
        <w:rPr>
          <w:rFonts w:hint="default" w:eastAsia="宋体"/>
          <w:szCs w:val="20"/>
          <w:lang w:val="en-US" w:eastAsia="zh-CN"/>
        </w:rPr>
      </w:pPr>
      <w:r>
        <w:rPr>
          <w:rFonts w:hint="eastAsia" w:eastAsia="宋体"/>
          <w:szCs w:val="20"/>
          <w:lang w:val="en-US" w:eastAsia="zh-CN"/>
        </w:rPr>
        <w:t>Taking the method in NTN system as reference. In NTN system, it has identified separate frequency offset tracking solutions respectively for DL and UL. No matter for DL or UL, the solutions can be reused in ATG system.</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For some combination of frequency and SCS, SSB+TRS is feasible implementation for frequency offset tracking to support 1200km/h for ATG deployment.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The solution of frequency offset tracking in NTN system can be considered as reference for ATG system when SSB+TRS is not sufficient for some combination of frequency and SCS.</w:t>
      </w:r>
    </w:p>
    <w:p>
      <w:pPr>
        <w:pStyle w:val="4"/>
        <w:rPr>
          <w:rFonts w:hint="eastAsia" w:eastAsia="宋体" w:cs="Times New Roman"/>
          <w:b/>
          <w:bCs/>
          <w:color w:val="auto"/>
          <w:sz w:val="20"/>
          <w:szCs w:val="20"/>
          <w:highlight w:val="none"/>
          <w:lang w:val="en-US" w:eastAsia="zh-CN" w:bidi="ar-SA"/>
        </w:rPr>
      </w:pPr>
    </w:p>
    <w:p>
      <w:pPr>
        <w:pStyle w:val="5"/>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2.1.3 Whether to introduce UE based Timing pre-compensation</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Respect to PRACH design, current preamble format design can support as much as 100 km cell coverage. However considering the extreme case in ATG, the cell coverage can be up to 300 km, so for </w:t>
      </w:r>
      <w:r>
        <w:rPr>
          <w:rFonts w:hint="eastAsia" w:eastAsia="宋体"/>
          <w:color w:val="auto"/>
          <w:sz w:val="20"/>
          <w:szCs w:val="20"/>
          <w:highlight w:val="none"/>
          <w:lang w:val="en-US" w:eastAsia="zh-CN"/>
        </w:rPr>
        <w:t>PRACH or MsgA</w:t>
      </w:r>
      <w:r>
        <w:rPr>
          <w:rFonts w:hint="eastAsia" w:eastAsia="宋体"/>
          <w:color w:val="auto"/>
          <w:sz w:val="20"/>
          <w:szCs w:val="20"/>
          <w:lang w:val="en-US" w:eastAsia="zh-CN"/>
        </w:rPr>
        <w:t xml:space="preserve"> transmission, additional UE based timing pre-compensation is possible necessary for the extreme case.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UE based timing pre-compensation for PRACH or MsgA transmission is necessary for ATG CPE under the extreme case, i.e. 300 km cell coverage.</w:t>
      </w:r>
    </w:p>
    <w:p>
      <w:pPr>
        <w:pStyle w:val="5"/>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2.1.4 Whether to introduce UE based Frequency pre-compensation</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In NTN system, frequency pre-compensation at UE side was introduced. For GNSS capable UE, UE can estimate and pre-compensate the frequency offset based on position and moving velocity. Such process in NTN network can be used for ATG network, i.e. the ATG CPE can identify its position and moving velocity and do the compensation of transmit frequency based on relative moving velocity and distance between ATG CPE and gNB. </w:t>
      </w:r>
    </w:p>
    <w:p>
      <w:pPr>
        <w:pStyle w:val="4"/>
        <w:rPr>
          <w:rFonts w:hint="default" w:eastAsia="宋体"/>
          <w:color w:val="auto"/>
          <w:sz w:val="20"/>
          <w:szCs w:val="20"/>
          <w:lang w:val="en-US" w:eastAsia="zh-CN"/>
        </w:rPr>
      </w:pPr>
      <w:r>
        <w:rPr>
          <w:rFonts w:hint="eastAsia" w:eastAsia="宋体"/>
          <w:color w:val="auto"/>
          <w:sz w:val="20"/>
          <w:szCs w:val="20"/>
          <w:lang w:val="en-US" w:eastAsia="zh-CN"/>
        </w:rPr>
        <w:t>RAN4 has approved in last meeting that ATG CPE is GNSS capable. ATG CPE can derive the location information of gNB through SIB 19, so ATG CPE is capable of frequency pre-compensation.</w:t>
      </w:r>
    </w:p>
    <w:p>
      <w:pPr>
        <w:pStyle w:val="4"/>
        <w:rPr>
          <w:rFonts w:hint="eastAsia" w:ascii="Helvetica" w:hAnsi="Helvetica" w:eastAsia="宋体" w:cs="Times New Roman"/>
          <w:b/>
          <w:bCs/>
          <w:iCs w:val="0"/>
          <w:color w:val="auto"/>
          <w:kern w:val="32"/>
          <w:sz w:val="28"/>
          <w:szCs w:val="32"/>
          <w:lang w:val="en-US" w:eastAsia="zh-CN" w:bidi="ar-SA"/>
        </w:rPr>
      </w:pPr>
      <w:r>
        <w:rPr>
          <w:rFonts w:hint="eastAsia" w:eastAsia="宋体" w:cs="Times New Roman"/>
          <w:b/>
          <w:bCs/>
          <w:color w:val="auto"/>
          <w:sz w:val="20"/>
          <w:szCs w:val="20"/>
          <w:highlight w:val="none"/>
          <w:lang w:val="en-US" w:eastAsia="zh-CN" w:bidi="ar-SA"/>
        </w:rPr>
        <w:t>Proposal 3: UE based frequency pre-compensation similar as in NTN can be reused for ATG CPE.</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Mobility for IDLE/INACTIVE mode</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the UE in IDLE/INACTIVE state, the impact on cell re-selection and MDT under ATG system should be analyzed to identify whether some enhancement is necessary.</w:t>
      </w:r>
    </w:p>
    <w:p>
      <w:pPr>
        <w:pStyle w:val="4"/>
        <w:rPr>
          <w:rFonts w:hint="eastAsia" w:eastAsia="宋体"/>
          <w:u w:val="single"/>
          <w:lang w:val="en-US" w:eastAsia="zh-CN"/>
        </w:rPr>
      </w:pPr>
      <w:r>
        <w:rPr>
          <w:rFonts w:hint="eastAsia" w:eastAsia="宋体"/>
          <w:u w:val="single"/>
          <w:lang w:val="en-US" w:eastAsia="zh-CN"/>
        </w:rPr>
        <w:t>For cell re-selection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measurement of the intra-frequency cell, due to the velocity and the deployment scenario, e.g. inter-site distance, number of RRHs per cell, HST FR1 has introduced some enhancements compared with legacy Rel-15 to reduce the </w:t>
      </w:r>
      <w:r>
        <w:t>T</w:t>
      </w:r>
      <w:r>
        <w:rPr>
          <w:vertAlign w:val="subscript"/>
        </w:rPr>
        <w:t>detect,NR_Intra,</w:t>
      </w:r>
      <w:r>
        <w:t xml:space="preserve"> T</w:t>
      </w:r>
      <w:r>
        <w:rPr>
          <w:vertAlign w:val="subscript"/>
        </w:rPr>
        <w:t>measure,NR_Intra</w:t>
      </w:r>
      <w:r>
        <w:rPr>
          <w:rFonts w:hint="eastAsia" w:eastAsia="宋体"/>
          <w:color w:val="auto"/>
          <w:sz w:val="20"/>
          <w:szCs w:val="20"/>
          <w:lang w:val="en-US" w:eastAsia="zh-CN"/>
        </w:rPr>
        <w:t xml:space="preserve"> and </w:t>
      </w:r>
      <w:r>
        <w:t>T</w:t>
      </w:r>
      <w:r>
        <w:rPr>
          <w:vertAlign w:val="subscript"/>
        </w:rPr>
        <w:t>evaluate, NR_intra</w:t>
      </w:r>
      <w:r>
        <w:rPr>
          <w:rFonts w:hint="eastAsia" w:eastAsia="宋体"/>
          <w:vertAlign w:val="subscript"/>
          <w:lang w:val="en-US" w:eastAsia="zh-CN"/>
        </w:rPr>
        <w:t xml:space="preserve"> </w:t>
      </w:r>
      <w:r>
        <w:rPr>
          <w:rFonts w:hint="eastAsia" w:eastAsia="宋体"/>
          <w:color w:val="auto"/>
          <w:sz w:val="20"/>
          <w:szCs w:val="20"/>
          <w:lang w:val="en-US" w:eastAsia="zh-CN"/>
        </w:rPr>
        <w:t>as follows.</w:t>
      </w:r>
    </w:p>
    <w:p>
      <w:pPr>
        <w:pStyle w:val="35"/>
        <w:rPr>
          <w:lang w:val="en-US"/>
        </w:rPr>
      </w:pPr>
      <w:r>
        <w:rPr>
          <w:lang w:val="en-US"/>
        </w:rPr>
        <w:t>Table 4.2.2.3-1: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1008"/>
        <w:gridCol w:w="1010"/>
        <w:gridCol w:w="2114"/>
        <w:gridCol w:w="2116"/>
        <w:gridCol w:w="2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pStyle w:val="32"/>
            </w:pPr>
            <w:r>
              <w:t>DRX cycle length [s]</w:t>
            </w:r>
          </w:p>
        </w:tc>
        <w:tc>
          <w:tcPr>
            <w:tcW w:w="1061" w:type="pct"/>
            <w:gridSpan w:val="2"/>
            <w:tcBorders>
              <w:top w:val="single" w:color="auto" w:sz="4" w:space="0"/>
              <w:left w:val="single" w:color="auto" w:sz="4" w:space="0"/>
              <w:bottom w:val="single" w:color="auto" w:sz="4" w:space="0"/>
              <w:right w:val="single" w:color="auto" w:sz="4" w:space="0"/>
            </w:tcBorders>
          </w:tcPr>
          <w:p>
            <w:pPr>
              <w:pStyle w:val="32"/>
            </w:pPr>
            <w:r>
              <w:t>Scaling Factor (N1)</w:t>
            </w:r>
          </w:p>
        </w:tc>
        <w:tc>
          <w:tcPr>
            <w:tcW w:w="1111" w:type="pct"/>
            <w:tcBorders>
              <w:top w:val="single" w:color="auto" w:sz="4" w:space="0"/>
              <w:left w:val="single" w:color="auto" w:sz="4" w:space="0"/>
              <w:bottom w:val="nil"/>
              <w:right w:val="single" w:color="auto" w:sz="4" w:space="0"/>
            </w:tcBorders>
          </w:tcPr>
          <w:p>
            <w:pPr>
              <w:pStyle w:val="32"/>
            </w:pPr>
            <w:r>
              <w:t>T</w:t>
            </w:r>
            <w:r>
              <w:rPr>
                <w:vertAlign w:val="subscript"/>
              </w:rPr>
              <w:t>detect,NR_Intra</w:t>
            </w:r>
            <w:r>
              <w:t xml:space="preserve"> [s] (number of DRX cycles)</w:t>
            </w:r>
          </w:p>
        </w:tc>
        <w:tc>
          <w:tcPr>
            <w:tcW w:w="1112" w:type="pct"/>
            <w:tcBorders>
              <w:top w:val="single" w:color="auto" w:sz="4" w:space="0"/>
              <w:left w:val="single" w:color="auto" w:sz="4" w:space="0"/>
              <w:bottom w:val="nil"/>
              <w:right w:val="single" w:color="auto" w:sz="4" w:space="0"/>
            </w:tcBorders>
          </w:tcPr>
          <w:p>
            <w:pPr>
              <w:pStyle w:val="32"/>
            </w:pPr>
            <w:r>
              <w:t>T</w:t>
            </w:r>
            <w:r>
              <w:rPr>
                <w:vertAlign w:val="subscript"/>
              </w:rPr>
              <w:t>measure,NR_Intra</w:t>
            </w:r>
            <w:r>
              <w:t xml:space="preserve"> [s] (number of DRX cycles)</w:t>
            </w:r>
          </w:p>
        </w:tc>
        <w:tc>
          <w:tcPr>
            <w:tcW w:w="1112" w:type="pct"/>
            <w:tcBorders>
              <w:top w:val="single" w:color="auto" w:sz="4" w:space="0"/>
              <w:left w:val="single" w:color="auto" w:sz="4" w:space="0"/>
              <w:bottom w:val="nil"/>
              <w:right w:val="single" w:color="auto" w:sz="4" w:space="0"/>
            </w:tcBorders>
          </w:tcPr>
          <w:p>
            <w:pPr>
              <w:pStyle w:val="32"/>
              <w:rPr>
                <w:vertAlign w:val="subscript"/>
              </w:rPr>
            </w:pPr>
            <w:r>
              <w:t>T</w:t>
            </w:r>
            <w:r>
              <w:rPr>
                <w:vertAlign w:val="subscript"/>
              </w:rPr>
              <w:t>evaluate,NR_</w:t>
            </w:r>
            <w:r>
              <w:rPr>
                <w:rFonts w:cs="v4.2.0"/>
                <w:vertAlign w:val="subscript"/>
              </w:rPr>
              <w:t>Intra</w:t>
            </w:r>
          </w:p>
          <w:p>
            <w:pPr>
              <w:pStyle w:val="32"/>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pStyle w:val="32"/>
            </w:pPr>
          </w:p>
        </w:tc>
        <w:tc>
          <w:tcPr>
            <w:tcW w:w="530" w:type="pct"/>
            <w:tcBorders>
              <w:top w:val="single" w:color="auto" w:sz="4" w:space="0"/>
              <w:left w:val="single" w:color="auto" w:sz="4" w:space="0"/>
              <w:bottom w:val="single" w:color="auto" w:sz="4" w:space="0"/>
              <w:right w:val="single" w:color="auto" w:sz="4" w:space="0"/>
            </w:tcBorders>
          </w:tcPr>
          <w:p>
            <w:pPr>
              <w:pStyle w:val="32"/>
            </w:pPr>
            <w:r>
              <w:t>FR1</w:t>
            </w:r>
          </w:p>
        </w:tc>
        <w:tc>
          <w:tcPr>
            <w:tcW w:w="530" w:type="pct"/>
            <w:tcBorders>
              <w:top w:val="single" w:color="auto" w:sz="4" w:space="0"/>
              <w:left w:val="single" w:color="auto" w:sz="4" w:space="0"/>
              <w:bottom w:val="single" w:color="auto" w:sz="4" w:space="0"/>
              <w:right w:val="single" w:color="auto" w:sz="4" w:space="0"/>
            </w:tcBorders>
          </w:tcPr>
          <w:p>
            <w:pPr>
              <w:pStyle w:val="32"/>
              <w:rPr>
                <w:vertAlign w:val="superscript"/>
              </w:rPr>
            </w:pPr>
            <w:r>
              <w:t>FR2</w:t>
            </w:r>
            <w:r>
              <w:rPr>
                <w:vertAlign w:val="superscript"/>
              </w:rPr>
              <w:t>Note1</w:t>
            </w:r>
          </w:p>
        </w:tc>
        <w:tc>
          <w:tcPr>
            <w:tcW w:w="0" w:type="auto"/>
            <w:tcBorders>
              <w:top w:val="nil"/>
              <w:left w:val="single" w:color="auto" w:sz="4" w:space="0"/>
              <w:bottom w:val="single" w:color="auto" w:sz="4" w:space="0"/>
              <w:right w:val="single" w:color="auto" w:sz="4" w:space="0"/>
            </w:tcBorders>
            <w:vAlign w:val="center"/>
          </w:tcPr>
          <w:p>
            <w:pPr>
              <w:pStyle w:val="32"/>
            </w:pPr>
          </w:p>
        </w:tc>
        <w:tc>
          <w:tcPr>
            <w:tcW w:w="0" w:type="auto"/>
            <w:tcBorders>
              <w:top w:val="nil"/>
              <w:left w:val="single" w:color="auto" w:sz="4" w:space="0"/>
              <w:bottom w:val="single" w:color="auto" w:sz="4" w:space="0"/>
              <w:right w:val="single" w:color="auto" w:sz="4" w:space="0"/>
            </w:tcBorders>
            <w:vAlign w:val="center"/>
          </w:tcPr>
          <w:p>
            <w:pPr>
              <w:pStyle w:val="32"/>
            </w:pPr>
          </w:p>
        </w:tc>
        <w:tc>
          <w:tcPr>
            <w:tcW w:w="0" w:type="auto"/>
            <w:tcBorders>
              <w:top w:val="nil"/>
              <w:left w:val="single" w:color="auto" w:sz="4" w:space="0"/>
              <w:bottom w:val="single" w:color="auto" w:sz="4" w:space="0"/>
              <w:right w:val="single" w:color="auto" w:sz="4" w:space="0"/>
            </w:tcBorders>
            <w:vAlign w:val="center"/>
          </w:tcPr>
          <w:p>
            <w:pPr>
              <w:pStyle w:val="3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33"/>
            </w:pPr>
            <w:r>
              <w:t>0.32</w:t>
            </w:r>
          </w:p>
        </w:tc>
        <w:tc>
          <w:tcPr>
            <w:tcW w:w="530" w:type="pct"/>
            <w:tcBorders>
              <w:top w:val="single" w:color="auto" w:sz="4" w:space="0"/>
              <w:left w:val="single" w:color="auto" w:sz="4" w:space="0"/>
              <w:bottom w:val="nil"/>
              <w:right w:val="single" w:color="auto" w:sz="4" w:space="0"/>
            </w:tcBorders>
            <w:vAlign w:val="center"/>
          </w:tcPr>
          <w:p>
            <w:pPr>
              <w:pStyle w:val="33"/>
            </w:pPr>
            <w:r>
              <w:t>1</w:t>
            </w:r>
          </w:p>
        </w:tc>
        <w:tc>
          <w:tcPr>
            <w:tcW w:w="530" w:type="pct"/>
            <w:tcBorders>
              <w:top w:val="single" w:color="auto" w:sz="4" w:space="0"/>
              <w:left w:val="single" w:color="auto" w:sz="4" w:space="0"/>
              <w:bottom w:val="single" w:color="auto" w:sz="4" w:space="0"/>
              <w:right w:val="single" w:color="auto" w:sz="4" w:space="0"/>
            </w:tcBorders>
          </w:tcPr>
          <w:p>
            <w:pPr>
              <w:pStyle w:val="33"/>
            </w:pPr>
            <w:r>
              <w:t>8</w:t>
            </w:r>
          </w:p>
        </w:tc>
        <w:tc>
          <w:tcPr>
            <w:tcW w:w="1111" w:type="pct"/>
            <w:tcBorders>
              <w:top w:val="single" w:color="auto" w:sz="4" w:space="0"/>
              <w:left w:val="single" w:color="auto" w:sz="4" w:space="0"/>
              <w:bottom w:val="single" w:color="auto" w:sz="4" w:space="0"/>
              <w:right w:val="single" w:color="auto" w:sz="4" w:space="0"/>
            </w:tcBorders>
          </w:tcPr>
          <w:p>
            <w:pPr>
              <w:pStyle w:val="33"/>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pPr>
              <w:pStyle w:val="33"/>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pPr>
              <w:pStyle w:val="33"/>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33"/>
            </w:pPr>
            <w:r>
              <w:t>0.64</w:t>
            </w:r>
          </w:p>
        </w:tc>
        <w:tc>
          <w:tcPr>
            <w:tcW w:w="0" w:type="auto"/>
            <w:tcBorders>
              <w:top w:val="nil"/>
              <w:left w:val="single" w:color="auto" w:sz="4" w:space="0"/>
              <w:bottom w:val="nil"/>
              <w:right w:val="single" w:color="auto" w:sz="4" w:space="0"/>
            </w:tcBorders>
            <w:vAlign w:val="center"/>
          </w:tcPr>
          <w:p>
            <w:pPr>
              <w:pStyle w:val="33"/>
            </w:pPr>
          </w:p>
        </w:tc>
        <w:tc>
          <w:tcPr>
            <w:tcW w:w="530" w:type="pct"/>
            <w:tcBorders>
              <w:top w:val="single" w:color="auto" w:sz="4" w:space="0"/>
              <w:left w:val="single" w:color="auto" w:sz="4" w:space="0"/>
              <w:bottom w:val="single" w:color="auto" w:sz="4" w:space="0"/>
              <w:right w:val="single" w:color="auto" w:sz="4" w:space="0"/>
            </w:tcBorders>
          </w:tcPr>
          <w:p>
            <w:pPr>
              <w:pStyle w:val="33"/>
            </w:pPr>
            <w:r>
              <w:t>5</w:t>
            </w:r>
          </w:p>
        </w:tc>
        <w:tc>
          <w:tcPr>
            <w:tcW w:w="1111" w:type="pct"/>
            <w:tcBorders>
              <w:top w:val="single" w:color="auto" w:sz="4" w:space="0"/>
              <w:left w:val="single" w:color="auto" w:sz="4" w:space="0"/>
              <w:bottom w:val="single" w:color="auto" w:sz="4" w:space="0"/>
              <w:right w:val="single" w:color="auto" w:sz="4" w:space="0"/>
            </w:tcBorders>
          </w:tcPr>
          <w:p>
            <w:pPr>
              <w:pStyle w:val="33"/>
            </w:pPr>
            <w:r>
              <w:t>17.92 x N1 (28 x N1)</w:t>
            </w:r>
          </w:p>
        </w:tc>
        <w:tc>
          <w:tcPr>
            <w:tcW w:w="1112" w:type="pct"/>
            <w:tcBorders>
              <w:top w:val="single" w:color="auto" w:sz="4" w:space="0"/>
              <w:left w:val="single" w:color="auto" w:sz="4" w:space="0"/>
              <w:bottom w:val="single" w:color="auto" w:sz="4" w:space="0"/>
              <w:right w:val="single" w:color="auto" w:sz="4" w:space="0"/>
            </w:tcBorders>
          </w:tcPr>
          <w:p>
            <w:pPr>
              <w:pStyle w:val="33"/>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33"/>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33"/>
            </w:pPr>
            <w:r>
              <w:t>1.28</w:t>
            </w:r>
          </w:p>
        </w:tc>
        <w:tc>
          <w:tcPr>
            <w:tcW w:w="0" w:type="auto"/>
            <w:tcBorders>
              <w:top w:val="nil"/>
              <w:left w:val="single" w:color="auto" w:sz="4" w:space="0"/>
              <w:bottom w:val="nil"/>
              <w:right w:val="single" w:color="auto" w:sz="4" w:space="0"/>
            </w:tcBorders>
            <w:vAlign w:val="center"/>
          </w:tcPr>
          <w:p>
            <w:pPr>
              <w:pStyle w:val="33"/>
            </w:pPr>
          </w:p>
        </w:tc>
        <w:tc>
          <w:tcPr>
            <w:tcW w:w="530" w:type="pct"/>
            <w:tcBorders>
              <w:top w:val="single" w:color="auto" w:sz="4" w:space="0"/>
              <w:left w:val="single" w:color="auto" w:sz="4" w:space="0"/>
              <w:bottom w:val="single" w:color="auto" w:sz="4" w:space="0"/>
              <w:right w:val="single" w:color="auto" w:sz="4" w:space="0"/>
            </w:tcBorders>
          </w:tcPr>
          <w:p>
            <w:pPr>
              <w:pStyle w:val="33"/>
            </w:pPr>
            <w:r>
              <w:t>4</w:t>
            </w:r>
          </w:p>
        </w:tc>
        <w:tc>
          <w:tcPr>
            <w:tcW w:w="1111" w:type="pct"/>
            <w:tcBorders>
              <w:top w:val="single" w:color="auto" w:sz="4" w:space="0"/>
              <w:left w:val="single" w:color="auto" w:sz="4" w:space="0"/>
              <w:bottom w:val="single" w:color="auto" w:sz="4" w:space="0"/>
              <w:right w:val="single" w:color="auto" w:sz="4" w:space="0"/>
            </w:tcBorders>
          </w:tcPr>
          <w:p>
            <w:pPr>
              <w:pStyle w:val="33"/>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33"/>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33"/>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33"/>
            </w:pPr>
            <w:r>
              <w:t>2.56</w:t>
            </w:r>
          </w:p>
        </w:tc>
        <w:tc>
          <w:tcPr>
            <w:tcW w:w="0" w:type="auto"/>
            <w:tcBorders>
              <w:top w:val="nil"/>
              <w:left w:val="single" w:color="auto" w:sz="4" w:space="0"/>
              <w:bottom w:val="single" w:color="auto" w:sz="4" w:space="0"/>
              <w:right w:val="single" w:color="auto" w:sz="4" w:space="0"/>
            </w:tcBorders>
            <w:vAlign w:val="center"/>
          </w:tcPr>
          <w:p>
            <w:pPr>
              <w:pStyle w:val="33"/>
            </w:pPr>
          </w:p>
        </w:tc>
        <w:tc>
          <w:tcPr>
            <w:tcW w:w="530" w:type="pct"/>
            <w:tcBorders>
              <w:top w:val="single" w:color="auto" w:sz="4" w:space="0"/>
              <w:left w:val="single" w:color="auto" w:sz="4" w:space="0"/>
              <w:bottom w:val="single" w:color="auto" w:sz="4" w:space="0"/>
              <w:right w:val="single" w:color="auto" w:sz="4" w:space="0"/>
            </w:tcBorders>
          </w:tcPr>
          <w:p>
            <w:pPr>
              <w:pStyle w:val="33"/>
              <w:rPr>
                <w:rFonts w:cs="Arial"/>
                <w:lang w:eastAsia="zh-CN"/>
              </w:rPr>
            </w:pPr>
            <w:r>
              <w:rPr>
                <w:rFonts w:cs="Arial"/>
                <w:lang w:eastAsia="zh-CN"/>
              </w:rPr>
              <w:t>3</w:t>
            </w:r>
          </w:p>
        </w:tc>
        <w:tc>
          <w:tcPr>
            <w:tcW w:w="1111" w:type="pct"/>
            <w:tcBorders>
              <w:top w:val="single" w:color="auto" w:sz="4" w:space="0"/>
              <w:left w:val="single" w:color="auto" w:sz="4" w:space="0"/>
              <w:bottom w:val="single" w:color="auto" w:sz="4" w:space="0"/>
              <w:right w:val="single" w:color="auto" w:sz="4" w:space="0"/>
            </w:tcBorders>
          </w:tcPr>
          <w:p>
            <w:pPr>
              <w:pStyle w:val="33"/>
            </w:pPr>
            <w:r>
              <w:rPr>
                <w:rFonts w:cs="Arial"/>
                <w:lang w:eastAsia="zh-CN"/>
              </w:rPr>
              <w:t>58.88</w:t>
            </w:r>
            <w: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pStyle w:val="33"/>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33"/>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51"/>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w:t>
            </w:r>
            <w:r>
              <w:rPr>
                <w:lang w:eastAsia="zh-CN"/>
              </w:rPr>
              <w:t xml:space="preserve"> or 5</w:t>
            </w:r>
            <w:r>
              <w:t>, N1 = 8 for all DRX cycle length.</w:t>
            </w:r>
          </w:p>
          <w:p>
            <w:pPr>
              <w:pStyle w:val="51"/>
            </w:pPr>
            <w:r>
              <w:rPr>
                <w:snapToGrid w:val="0"/>
                <w:lang w:eastAsia="zh-CN"/>
              </w:rPr>
              <w:t>Note 2:</w:t>
            </w:r>
            <w:r>
              <w:rPr>
                <w:lang w:val="en-US"/>
              </w:rP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pPr>
        <w:pStyle w:val="35"/>
      </w:pPr>
    </w:p>
    <w:p>
      <w:pPr>
        <w:pStyle w:val="35"/>
      </w:pPr>
      <w:r>
        <w:t>Table 4.2.2.3-2: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rFonts w:cs="v4.2.0"/>
          <w:bCs/>
          <w:i/>
          <w:iCs/>
          <w:lang w:eastAsia="zh-CN"/>
        </w:rPr>
        <w:t>highSpeedMeasFlag-r16</w:t>
      </w:r>
      <w:r>
        <w:t xml:space="preserve"> (Frequency range FR1)</w:t>
      </w:r>
    </w:p>
    <w:tbl>
      <w:tblPr>
        <w:tblStyle w:val="16"/>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2115"/>
        <w:gridCol w:w="2117"/>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766" w:type="pct"/>
            <w:vMerge w:val="restart"/>
            <w:tcBorders>
              <w:top w:val="single" w:color="auto" w:sz="4" w:space="0"/>
              <w:left w:val="single" w:color="auto" w:sz="4" w:space="0"/>
              <w:bottom w:val="single" w:color="auto" w:sz="4" w:space="0"/>
              <w:right w:val="single" w:color="auto" w:sz="4" w:space="0"/>
            </w:tcBorders>
          </w:tcPr>
          <w:p>
            <w:pPr>
              <w:pStyle w:val="32"/>
            </w:pPr>
            <w:r>
              <w:t>DRX cycle length [s]</w:t>
            </w:r>
          </w:p>
        </w:tc>
        <w:tc>
          <w:tcPr>
            <w:tcW w:w="1411" w:type="pct"/>
            <w:vMerge w:val="restart"/>
            <w:tcBorders>
              <w:top w:val="single" w:color="auto" w:sz="4" w:space="0"/>
              <w:left w:val="single" w:color="auto" w:sz="4" w:space="0"/>
              <w:bottom w:val="single" w:color="auto" w:sz="4" w:space="0"/>
              <w:right w:val="single" w:color="auto" w:sz="4" w:space="0"/>
            </w:tcBorders>
          </w:tcPr>
          <w:p>
            <w:pPr>
              <w:pStyle w:val="32"/>
            </w:pPr>
            <w:r>
              <w:t>T</w:t>
            </w:r>
            <w:r>
              <w:rPr>
                <w:vertAlign w:val="subscript"/>
              </w:rPr>
              <w:t>detect,NR_Intra</w:t>
            </w:r>
            <w:r>
              <w:t xml:space="preserve"> [s] (number of DRX cycles)</w:t>
            </w:r>
          </w:p>
        </w:tc>
        <w:tc>
          <w:tcPr>
            <w:tcW w:w="1412" w:type="pct"/>
            <w:vMerge w:val="restart"/>
            <w:tcBorders>
              <w:top w:val="single" w:color="auto" w:sz="4" w:space="0"/>
              <w:left w:val="single" w:color="auto" w:sz="4" w:space="0"/>
              <w:bottom w:val="single" w:color="auto" w:sz="4" w:space="0"/>
              <w:right w:val="single" w:color="auto" w:sz="4" w:space="0"/>
            </w:tcBorders>
          </w:tcPr>
          <w:p>
            <w:pPr>
              <w:pStyle w:val="32"/>
            </w:pPr>
            <w:r>
              <w:t>T</w:t>
            </w:r>
            <w:r>
              <w:rPr>
                <w:vertAlign w:val="subscript"/>
              </w:rPr>
              <w:t>measure,NR_Intra</w:t>
            </w:r>
            <w:r>
              <w:t xml:space="preserve"> [s] (number of DRX cycles)</w:t>
            </w:r>
          </w:p>
        </w:tc>
        <w:tc>
          <w:tcPr>
            <w:tcW w:w="1411" w:type="pct"/>
            <w:vMerge w:val="restart"/>
            <w:tcBorders>
              <w:top w:val="single" w:color="auto" w:sz="4" w:space="0"/>
              <w:left w:val="single" w:color="auto" w:sz="4" w:space="0"/>
              <w:bottom w:val="single" w:color="auto" w:sz="4" w:space="0"/>
              <w:right w:val="single" w:color="auto" w:sz="4" w:space="0"/>
            </w:tcBorders>
          </w:tcPr>
          <w:p>
            <w:pPr>
              <w:pStyle w:val="32"/>
              <w:rPr>
                <w:vertAlign w:val="subscript"/>
              </w:rPr>
            </w:pPr>
            <w:r>
              <w:t>T</w:t>
            </w:r>
            <w:r>
              <w:rPr>
                <w:vertAlign w:val="subscript"/>
              </w:rPr>
              <w:t>evaluate,NR_</w:t>
            </w:r>
            <w:r>
              <w:rPr>
                <w:rFonts w:cs="v4.2.0"/>
                <w:vertAlign w:val="subscript"/>
              </w:rPr>
              <w:t>Intra</w:t>
            </w:r>
          </w:p>
          <w:p>
            <w:pPr>
              <w:pStyle w:val="32"/>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33"/>
            </w:pPr>
            <w:r>
              <w:t>0.32</w:t>
            </w:r>
          </w:p>
        </w:tc>
        <w:tc>
          <w:tcPr>
            <w:tcW w:w="1411" w:type="pct"/>
            <w:tcBorders>
              <w:top w:val="single" w:color="auto" w:sz="4" w:space="0"/>
              <w:left w:val="single" w:color="auto" w:sz="4" w:space="0"/>
              <w:bottom w:val="single" w:color="auto" w:sz="4" w:space="0"/>
              <w:right w:val="single" w:color="auto" w:sz="4" w:space="0"/>
            </w:tcBorders>
          </w:tcPr>
          <w:p>
            <w:pPr>
              <w:pStyle w:val="33"/>
            </w:pPr>
            <w:r>
              <w:t>2.56 x M2 (8 x M2)</w:t>
            </w:r>
          </w:p>
        </w:tc>
        <w:tc>
          <w:tcPr>
            <w:tcW w:w="1412" w:type="pct"/>
            <w:tcBorders>
              <w:top w:val="single" w:color="auto" w:sz="4" w:space="0"/>
              <w:left w:val="single" w:color="auto" w:sz="4" w:space="0"/>
              <w:bottom w:val="single" w:color="auto" w:sz="4" w:space="0"/>
              <w:right w:val="single" w:color="auto" w:sz="4" w:space="0"/>
            </w:tcBorders>
          </w:tcPr>
          <w:p>
            <w:pPr>
              <w:pStyle w:val="33"/>
            </w:pPr>
            <w:r>
              <w:t>0.32 x M3 (1 x M3)</w:t>
            </w:r>
          </w:p>
        </w:tc>
        <w:tc>
          <w:tcPr>
            <w:tcW w:w="1411" w:type="pct"/>
            <w:tcBorders>
              <w:top w:val="single" w:color="auto" w:sz="4" w:space="0"/>
              <w:left w:val="single" w:color="auto" w:sz="4" w:space="0"/>
              <w:bottom w:val="single" w:color="auto" w:sz="4" w:space="0"/>
              <w:right w:val="single" w:color="auto" w:sz="4" w:space="0"/>
            </w:tcBorders>
          </w:tcPr>
          <w:p>
            <w:pPr>
              <w:pStyle w:val="33"/>
            </w:pPr>
            <w:r>
              <w:t>0.96 x M4 (3 x 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33"/>
            </w:pPr>
            <w:r>
              <w:t>0.64</w:t>
            </w:r>
          </w:p>
        </w:tc>
        <w:tc>
          <w:tcPr>
            <w:tcW w:w="1411" w:type="pct"/>
            <w:tcBorders>
              <w:top w:val="single" w:color="auto" w:sz="4" w:space="0"/>
              <w:left w:val="single" w:color="auto" w:sz="4" w:space="0"/>
              <w:bottom w:val="single" w:color="auto" w:sz="4" w:space="0"/>
              <w:right w:val="single" w:color="auto" w:sz="4" w:space="0"/>
            </w:tcBorders>
          </w:tcPr>
          <w:p>
            <w:pPr>
              <w:pStyle w:val="33"/>
            </w:pPr>
            <w:r>
              <w:t>5.12 (8)</w:t>
            </w:r>
          </w:p>
        </w:tc>
        <w:tc>
          <w:tcPr>
            <w:tcW w:w="1412" w:type="pct"/>
            <w:tcBorders>
              <w:top w:val="single" w:color="auto" w:sz="4" w:space="0"/>
              <w:left w:val="single" w:color="auto" w:sz="4" w:space="0"/>
              <w:bottom w:val="single" w:color="auto" w:sz="4" w:space="0"/>
              <w:right w:val="single" w:color="auto" w:sz="4" w:space="0"/>
            </w:tcBorders>
          </w:tcPr>
          <w:p>
            <w:pPr>
              <w:pStyle w:val="33"/>
            </w:pPr>
            <w:r>
              <w:t>0.64 (1)</w:t>
            </w:r>
          </w:p>
        </w:tc>
        <w:tc>
          <w:tcPr>
            <w:tcW w:w="1411" w:type="pct"/>
            <w:tcBorders>
              <w:top w:val="single" w:color="auto" w:sz="4" w:space="0"/>
              <w:left w:val="single" w:color="auto" w:sz="4" w:space="0"/>
              <w:bottom w:val="single" w:color="auto" w:sz="4" w:space="0"/>
              <w:right w:val="single" w:color="auto" w:sz="4" w:space="0"/>
            </w:tcBorders>
          </w:tcPr>
          <w:p>
            <w:pPr>
              <w:pStyle w:val="33"/>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33"/>
            </w:pPr>
            <w:r>
              <w:t>1.28</w:t>
            </w:r>
          </w:p>
        </w:tc>
        <w:tc>
          <w:tcPr>
            <w:tcW w:w="1411" w:type="pct"/>
            <w:tcBorders>
              <w:top w:val="single" w:color="auto" w:sz="4" w:space="0"/>
              <w:left w:val="single" w:color="auto" w:sz="4" w:space="0"/>
              <w:bottom w:val="single" w:color="auto" w:sz="4" w:space="0"/>
              <w:right w:val="single" w:color="auto" w:sz="4" w:space="0"/>
            </w:tcBorders>
          </w:tcPr>
          <w:p>
            <w:pPr>
              <w:pStyle w:val="33"/>
            </w:pPr>
            <w:r>
              <w:t>8.96 (7)</w:t>
            </w:r>
          </w:p>
        </w:tc>
        <w:tc>
          <w:tcPr>
            <w:tcW w:w="1412" w:type="pct"/>
            <w:tcBorders>
              <w:top w:val="single" w:color="auto" w:sz="4" w:space="0"/>
              <w:left w:val="single" w:color="auto" w:sz="4" w:space="0"/>
              <w:bottom w:val="single" w:color="auto" w:sz="4" w:space="0"/>
              <w:right w:val="single" w:color="auto" w:sz="4" w:space="0"/>
            </w:tcBorders>
          </w:tcPr>
          <w:p>
            <w:pPr>
              <w:pStyle w:val="33"/>
            </w:pPr>
            <w:r>
              <w:t>1.28 (1)</w:t>
            </w:r>
          </w:p>
        </w:tc>
        <w:tc>
          <w:tcPr>
            <w:tcW w:w="1411" w:type="pct"/>
            <w:tcBorders>
              <w:top w:val="single" w:color="auto" w:sz="4" w:space="0"/>
              <w:left w:val="single" w:color="auto" w:sz="4" w:space="0"/>
              <w:bottom w:val="single" w:color="auto" w:sz="4" w:space="0"/>
              <w:right w:val="single" w:color="auto" w:sz="4" w:space="0"/>
            </w:tcBorders>
          </w:tcPr>
          <w:p>
            <w:pPr>
              <w:pStyle w:val="33"/>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33"/>
            </w:pPr>
            <w:r>
              <w:t>2.56</w:t>
            </w:r>
          </w:p>
        </w:tc>
        <w:tc>
          <w:tcPr>
            <w:tcW w:w="1411" w:type="pct"/>
            <w:tcBorders>
              <w:top w:val="single" w:color="auto" w:sz="4" w:space="0"/>
              <w:left w:val="single" w:color="auto" w:sz="4" w:space="0"/>
              <w:bottom w:val="single" w:color="auto" w:sz="4" w:space="0"/>
              <w:right w:val="single" w:color="auto" w:sz="4" w:space="0"/>
            </w:tcBorders>
          </w:tcPr>
          <w:p>
            <w:pPr>
              <w:pStyle w:val="33"/>
            </w:pPr>
            <w:r>
              <w:t>58.88 (23)</w:t>
            </w:r>
          </w:p>
        </w:tc>
        <w:tc>
          <w:tcPr>
            <w:tcW w:w="1412" w:type="pct"/>
            <w:tcBorders>
              <w:top w:val="single" w:color="auto" w:sz="4" w:space="0"/>
              <w:left w:val="single" w:color="auto" w:sz="4" w:space="0"/>
              <w:bottom w:val="single" w:color="auto" w:sz="4" w:space="0"/>
              <w:right w:val="single" w:color="auto" w:sz="4" w:space="0"/>
            </w:tcBorders>
          </w:tcPr>
          <w:p>
            <w:pPr>
              <w:pStyle w:val="33"/>
            </w:pPr>
            <w:r>
              <w:t>2.56 (1)</w:t>
            </w:r>
          </w:p>
        </w:tc>
        <w:tc>
          <w:tcPr>
            <w:tcW w:w="1411" w:type="pct"/>
            <w:tcBorders>
              <w:top w:val="single" w:color="auto" w:sz="4" w:space="0"/>
              <w:left w:val="single" w:color="auto" w:sz="4" w:space="0"/>
              <w:bottom w:val="single" w:color="auto" w:sz="4" w:space="0"/>
              <w:right w:val="single" w:color="auto" w:sz="4" w:space="0"/>
            </w:tcBorders>
          </w:tcPr>
          <w:p>
            <w:pPr>
              <w:pStyle w:val="33"/>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DengXian"/>
                <w:sz w:val="18"/>
                <w:lang w:eastAsia="zh-CN"/>
              </w:rPr>
            </w:pPr>
            <w:r>
              <w:rPr>
                <w:rFonts w:hint="eastAsia" w:ascii="Arial" w:hAnsi="Arial" w:eastAsia="DengXian"/>
                <w:sz w:val="18"/>
                <w:lang w:eastAsia="zh-CN"/>
              </w:rPr>
              <w:t>N</w:t>
            </w:r>
            <w:r>
              <w:rPr>
                <w:rFonts w:ascii="Arial" w:hAnsi="Arial" w:eastAsia="DengXian"/>
                <w:sz w:val="18"/>
                <w:lang w:eastAsia="zh-CN"/>
              </w:rPr>
              <w:t>ote 1:</w:t>
            </w:r>
            <w:r>
              <w:rPr>
                <w:rFonts w:ascii="Arial" w:hAnsi="Arial"/>
                <w:sz w:val="18"/>
                <w:lang w:val="en-US"/>
              </w:rPr>
              <w:tab/>
            </w:r>
            <w:r>
              <w:rPr>
                <w:rFonts w:ascii="Arial" w:hAnsi="Arial" w:eastAsia="DengXian"/>
                <w:sz w:val="18"/>
                <w:lang w:eastAsia="zh-CN"/>
              </w:rPr>
              <w:t>when SMTC &lt; = 40 ms, M2 = M3 = M4 = 1; and when SMTC &gt; 40 ms, M2 = 1.5, M3 = M4 = 2</w:t>
            </w:r>
          </w:p>
          <w:p>
            <w:pPr>
              <w:pStyle w:val="51"/>
              <w:rPr>
                <w:rFonts w:eastAsia="DengXian"/>
                <w:lang w:eastAsia="zh-CN"/>
              </w:rPr>
            </w:pPr>
            <w:r>
              <w:rPr>
                <w:rFonts w:eastAsia="DengXian"/>
                <w:lang w:eastAsia="zh-CN"/>
              </w:rPr>
              <w:t>Note 2:</w:t>
            </w:r>
            <w:r>
              <w:rPr>
                <w:lang w:val="en-US"/>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However it should be noted that the cell coverage and is extremely large than HST FR1 scenario. So whether the similar enhancement is necessary, which should be analyzed based on the deployment of ATG system. By traditional, we need to identify whether the </w:t>
      </w:r>
      <w:r>
        <w:t>T</w:t>
      </w:r>
      <w:r>
        <w:rPr>
          <w:vertAlign w:val="subscript"/>
        </w:rPr>
        <w:t>detect</w:t>
      </w:r>
      <w:r>
        <w:rPr>
          <w:rFonts w:hint="eastAsia"/>
          <w:vertAlign w:val="subscript"/>
          <w:lang w:val="en-US" w:eastAsia="zh-CN"/>
        </w:rPr>
        <w:t xml:space="preserve"> </w:t>
      </w:r>
      <w:r>
        <w:rPr>
          <w:rFonts w:hint="eastAsia" w:eastAsia="宋体"/>
          <w:color w:val="auto"/>
          <w:sz w:val="20"/>
          <w:szCs w:val="20"/>
          <w:lang w:val="en-US" w:eastAsia="zh-CN"/>
        </w:rPr>
        <w:t xml:space="preserve">is enough at such high speed moving. For the largest DRX cycle, based on Table 4.2.2.3-2, at the speed of 1200km/h, UE can move 19.6km. Since the UE shall be able to evaluate whether a newly detectable intra-frequency cell meets the re-selection criteria defined in TS38.304 within </w:t>
      </w:r>
      <w:r>
        <w:t>T</w:t>
      </w:r>
      <w:r>
        <w:rPr>
          <w:vertAlign w:val="subscript"/>
        </w:rPr>
        <w:t>detect,</w:t>
      </w:r>
      <w:r>
        <w:rPr>
          <w:vertAlign w:val="subscript"/>
          <w:lang w:eastAsia="zh-CN"/>
        </w:rPr>
        <w:t>NR</w:t>
      </w:r>
      <w:r>
        <w:rPr>
          <w:vertAlign w:val="subscript"/>
        </w:rPr>
        <w:t>_Intra</w:t>
      </w:r>
      <w:r>
        <w:rPr>
          <w:rFonts w:hint="eastAsia" w:eastAsia="宋体"/>
          <w:color w:val="auto"/>
          <w:sz w:val="20"/>
          <w:szCs w:val="20"/>
          <w:lang w:val="en-US" w:eastAsia="zh-CN"/>
        </w:rPr>
        <w:t>, 19.6km is smaller than 25 km, so legacy requirement defined in Table 4.2.2.3-2 is fine to ATG system, not need to introduce additional enhancement.</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measurement of the inter-frequency cell, similar analysis as for intra-frequency measurement for cell re-selection, not need to enhance, re-using legacy Rel-15 requirements is fine.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w:t>
      </w:r>
      <w:r>
        <w:rPr>
          <w:rFonts w:hint="eastAsia"/>
          <w:b/>
          <w:bCs/>
          <w:lang w:val="en-US" w:eastAsia="zh-CN"/>
        </w:rPr>
        <w:t>Reusing legacy R15 requirements of intra-frequency and inter-frequency measurements in cell re-selection is fine.</w:t>
      </w:r>
    </w:p>
    <w:p>
      <w:pPr>
        <w:pStyle w:val="4"/>
        <w:rPr>
          <w:rFonts w:hint="eastAsia" w:eastAsia="宋体"/>
          <w:color w:val="auto"/>
          <w:sz w:val="20"/>
          <w:szCs w:val="20"/>
          <w:lang w:val="en-US" w:eastAsia="zh-CN"/>
        </w:rPr>
      </w:pPr>
      <w:r>
        <w:rPr>
          <w:rFonts w:hint="eastAsia" w:eastAsia="宋体"/>
          <w:color w:val="auto"/>
          <w:sz w:val="20"/>
          <w:szCs w:val="20"/>
          <w:lang w:val="en-US" w:eastAsia="zh-CN"/>
        </w:rPr>
        <w:t>For measurement of the inter-RAT cell, Since from the perspective of commercial deployment, there is no demand for ATG coveraged by EUTRA, so we do not need to consider such type of measurement for cell re-selection for ATG UE.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Not need to consider inter-RAT measurement for cell re-selection due to no commerical demand.</w:t>
      </w:r>
    </w:p>
    <w:p>
      <w:pPr>
        <w:pStyle w:val="3"/>
        <w:bidi w:val="0"/>
        <w:rPr>
          <w:rFonts w:hint="default" w:eastAsia="宋体" w:cs="Times New Roman"/>
          <w:b/>
          <w:bCs/>
          <w:color w:val="auto"/>
          <w:sz w:val="20"/>
          <w:szCs w:val="20"/>
          <w:highlight w:val="none"/>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3</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Mobility for CONNECTED mode</w:t>
      </w:r>
    </w:p>
    <w:p>
      <w:pPr>
        <w:pStyle w:val="4"/>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Focus on handover and RRC re-establishment, we analysis the necessity of RRM enhancements for ATG. </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For handover</w:t>
      </w:r>
    </w:p>
    <w:p>
      <w:pPr>
        <w:pStyle w:val="4"/>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Firstly, we believe the intra-frequency measurement and inter-frequency measurement for handover is necessary. If only resume such measurements when sudden events happens, since of up to 1200km/h speed, which means the regular measurements becomes to event triggered and maybe out of NW control. So regular intra-frequency measurement and inter-frequency measurement similar as legacy is needed.</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6: regular intra-frequency measurement and inter-frequency measurement similar as legacy is needed.</w:t>
      </w:r>
    </w:p>
    <w:p>
      <w:pPr>
        <w:pStyle w:val="4"/>
        <w:jc w:val="both"/>
        <w:rPr>
          <w:rFonts w:hint="eastAsia" w:eastAsia="宋体"/>
          <w:color w:val="auto"/>
          <w:sz w:val="20"/>
          <w:szCs w:val="20"/>
          <w:lang w:val="en-US" w:eastAsia="zh-CN"/>
        </w:rPr>
      </w:pPr>
      <w:r>
        <w:rPr>
          <w:rFonts w:hint="eastAsia" w:eastAsia="宋体"/>
          <w:color w:val="auto"/>
          <w:sz w:val="20"/>
          <w:szCs w:val="20"/>
          <w:lang w:val="en-US" w:eastAsia="zh-CN"/>
        </w:rPr>
        <w:t>Referring to the exact requirements for intra/inter-frequency measurement, for FR1-FR1 handover, we believe the following issues should be studied to identify whether additional enhancement is necessary.</w:t>
      </w:r>
    </w:p>
    <w:p>
      <w:pPr>
        <w:pStyle w:val="4"/>
        <w:numPr>
          <w:ilvl w:val="0"/>
          <w:numId w:val="6"/>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Issue 1: The requirements for known case</w:t>
      </w:r>
    </w:p>
    <w:p>
      <w:pPr>
        <w:pStyle w:val="4"/>
        <w:numPr>
          <w:ilvl w:val="0"/>
          <w:numId w:val="6"/>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Issue 2: The applicability of unknown case</w:t>
      </w:r>
    </w:p>
    <w:p>
      <w:pPr>
        <w:rPr>
          <w:rFonts w:hint="eastAsia"/>
          <w:lang w:val="en-US" w:eastAsia="zh-CN"/>
        </w:rPr>
      </w:pPr>
      <w:r>
        <w:rPr>
          <w:rFonts w:hint="eastAsia" w:eastAsia="宋体"/>
          <w:color w:val="auto"/>
          <w:sz w:val="20"/>
          <w:szCs w:val="20"/>
          <w:lang w:val="en-US" w:eastAsia="zh-CN"/>
        </w:rPr>
        <w:t>For Issue 1, according to the legacy requirement, f</w:t>
      </w:r>
      <w:r>
        <w:rPr>
          <w:rFonts w:hint="eastAsia"/>
          <w:lang w:val="en-US" w:eastAsia="zh-CN"/>
        </w:rPr>
        <w:t xml:space="preserve">or known case, </w:t>
      </w:r>
      <w:bookmarkStart w:id="0" w:name="OLE_LINK41"/>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rPr>
          <w:rFonts w:hint="eastAsia"/>
          <w:vertAlign w:val="subscript"/>
          <w:lang w:val="en-US" w:eastAsia="zh-CN"/>
        </w:rPr>
        <w:t xml:space="preserve"> </w:t>
      </w:r>
      <w:r>
        <w:t>ms</w:t>
      </w:r>
      <w:bookmarkEnd w:id="0"/>
      <w:r>
        <w:rPr>
          <w:rFonts w:hint="eastAsia"/>
          <w:lang w:val="en-US" w:eastAsia="zh-CN"/>
        </w:rPr>
        <w:t>, where</w:t>
      </w:r>
    </w:p>
    <w:p>
      <w:pPr>
        <w:numPr>
          <w:ilvl w:val="0"/>
          <w:numId w:val="8"/>
        </w:numPr>
        <w:ind w:left="840" w:leftChars="0" w:hanging="420" w:firstLineChars="0"/>
        <w:rPr>
          <w:rFonts w:hint="eastAsia"/>
          <w:lang w:val="en-US" w:eastAsia="zh-CN"/>
        </w:rPr>
      </w:pPr>
      <w:r>
        <w:t>T</w:t>
      </w:r>
      <w:r>
        <w:rPr>
          <w:vertAlign w:val="subscript"/>
        </w:rPr>
        <w:t>search</w:t>
      </w:r>
      <w:r>
        <w:t xml:space="preserve"> </w:t>
      </w:r>
      <w:r>
        <w:rPr>
          <w:rFonts w:hint="eastAsia"/>
          <w:lang w:val="en-US" w:eastAsia="zh-CN"/>
        </w:rPr>
        <w:t>= 0 ms.</w:t>
      </w:r>
    </w:p>
    <w:p>
      <w:pPr>
        <w:numPr>
          <w:ilvl w:val="0"/>
          <w:numId w:val="8"/>
        </w:numPr>
        <w:ind w:left="840" w:leftChars="0" w:hanging="420" w:firstLineChars="0"/>
      </w:pPr>
      <w:r>
        <w:t>T</w:t>
      </w:r>
      <w:r>
        <w:rPr>
          <w:vertAlign w:val="subscript"/>
        </w:rPr>
        <w:t>∆</w:t>
      </w:r>
      <w:r>
        <w:t xml:space="preserve"> is time for </w:t>
      </w:r>
      <w:r>
        <w:rPr>
          <w:highlight w:val="none"/>
        </w:rPr>
        <w:t xml:space="preserve">fine time tracking and acquiring full timing information of the target cell. </w:t>
      </w:r>
      <w:r>
        <w:t>T</w:t>
      </w:r>
      <w:r>
        <w:rPr>
          <w:vertAlign w:val="subscript"/>
        </w:rPr>
        <w:t>∆</w:t>
      </w:r>
      <w:r>
        <w:t xml:space="preserve"> = T</w:t>
      </w:r>
      <w:r>
        <w:rPr>
          <w:vertAlign w:val="subscript"/>
        </w:rPr>
        <w:t>rs</w:t>
      </w:r>
      <w:r>
        <w:t>.</w:t>
      </w:r>
      <w:r>
        <w:rPr>
          <w:rFonts w:hint="eastAsia"/>
          <w:lang w:val="en-US" w:eastAsia="zh-CN"/>
        </w:rPr>
        <w:t xml:space="preserve"> </w:t>
      </w:r>
    </w:p>
    <w:p>
      <w:pPr>
        <w:numPr>
          <w:ilvl w:val="0"/>
          <w:numId w:val="8"/>
        </w:numPr>
        <w:ind w:left="840" w:leftChars="0" w:hanging="420" w:firstLineChars="0"/>
        <w:rPr>
          <w:rFonts w:hint="default" w:eastAsia="宋体"/>
          <w:lang w:val="en-US" w:eastAsia="zh-CN"/>
        </w:rPr>
      </w:pPr>
      <w:r>
        <w:t>T</w:t>
      </w:r>
      <w:r>
        <w:rPr>
          <w:vertAlign w:val="subscript"/>
        </w:rPr>
        <w:t>IU</w:t>
      </w:r>
      <w:r>
        <w:t xml:space="preserve"> is the interruption uncertainty </w:t>
      </w:r>
      <w:r>
        <w:rPr>
          <w:lang w:eastAsia="zh-CN"/>
        </w:rPr>
        <w:t>in acquiring the first available PRACH occasion in the new cell</w:t>
      </w:r>
      <w:r>
        <w:t xml:space="preserve">. </w:t>
      </w:r>
    </w:p>
    <w:p>
      <w:pPr>
        <w:numPr>
          <w:ilvl w:val="0"/>
          <w:numId w:val="8"/>
        </w:numPr>
        <w:ind w:left="840" w:leftChars="0" w:hanging="420" w:firstLineChars="0"/>
        <w:rPr>
          <w:rFonts w:hint="default"/>
          <w:lang w:val="en-US" w:eastAsia="zh-CN"/>
        </w:rPr>
      </w:pPr>
      <w:r>
        <w:t>T</w:t>
      </w:r>
      <w:r>
        <w:rPr>
          <w:vertAlign w:val="subscript"/>
          <w:lang w:eastAsia="zh-CN"/>
        </w:rPr>
        <w:t>processing</w:t>
      </w:r>
      <w:r>
        <w:t xml:space="preserve"> is time for UE processing. T</w:t>
      </w:r>
      <w:r>
        <w:rPr>
          <w:vertAlign w:val="subscript"/>
          <w:lang w:eastAsia="zh-CN"/>
        </w:rPr>
        <w:t>processing</w:t>
      </w:r>
      <w:r>
        <w:t xml:space="preserve"> can be up to 20ms.</w:t>
      </w:r>
      <w:r>
        <w:rPr>
          <w:rFonts w:hint="eastAsia"/>
          <w:lang w:val="en-US" w:eastAsia="zh-CN"/>
        </w:rPr>
        <w:t xml:space="preserve"> </w:t>
      </w:r>
    </w:p>
    <w:p>
      <w:pPr>
        <w:numPr>
          <w:ilvl w:val="0"/>
          <w:numId w:val="8"/>
        </w:numPr>
        <w:ind w:left="840" w:leftChars="0" w:hanging="420" w:firstLineChars="0"/>
        <w:rPr>
          <w:rFonts w:hint="default"/>
          <w:lang w:val="en-US" w:eastAsia="zh-CN"/>
        </w:rPr>
      </w:pP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r>
        <w:rPr>
          <w:rFonts w:hint="eastAsia"/>
          <w:lang w:val="en-US" w:eastAsia="zh-CN"/>
        </w:rPr>
        <w:t xml:space="preserve"> </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the known target cell, the handover delay is rough estimated as 102ms(assuming SMTC is 40 ms), Considering the velocity of 1200km/h, ATG UE can move about 34 m. The handover range can cover such distance. So not need to introduce additional enhancement. Reusing legacy requirements is fine.</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Considering the requirements for known case handover, re-using legacy legacy requirement for ATG UE is fine.</w:t>
      </w:r>
    </w:p>
    <w:p>
      <w:pPr>
        <w:rPr>
          <w:rFonts w:hint="default" w:ascii="Times New Roman" w:hAnsi="Times New Roman" w:eastAsia="宋体" w:cs="Times New Roman"/>
          <w:b w:val="0"/>
          <w:bCs/>
          <w:kern w:val="44"/>
          <w:sz w:val="24"/>
          <w:szCs w:val="24"/>
          <w:lang w:val="en-US" w:eastAsia="zh-CN" w:bidi="ar-SA"/>
        </w:rPr>
      </w:pPr>
      <w:r>
        <w:rPr>
          <w:rFonts w:hint="eastAsia" w:ascii="Times New Roman" w:hAnsi="Times New Roman" w:eastAsia="宋体" w:cs="Times New Roman"/>
          <w:color w:val="auto"/>
          <w:sz w:val="20"/>
          <w:szCs w:val="20"/>
          <w:lang w:val="en-US" w:eastAsia="zh-CN" w:bidi="ar-SA"/>
        </w:rPr>
        <w:t xml:space="preserve">For Issue 2, considering unknown case, If the target cell is an unknown intra-frequency cell and the target cell Es/Iot≥-2 dB, then </w:t>
      </w:r>
      <w:r>
        <w:rPr>
          <w:highlight w:val="none"/>
        </w:rPr>
        <w:t>T</w:t>
      </w:r>
      <w:r>
        <w:rPr>
          <w:highlight w:val="none"/>
          <w:vertAlign w:val="subscript"/>
        </w:rPr>
        <w:t>search</w:t>
      </w:r>
      <w:r>
        <w:rPr>
          <w:highlight w:val="none"/>
        </w:rPr>
        <w:t xml:space="preserve"> = T</w:t>
      </w:r>
      <w:r>
        <w:rPr>
          <w:highlight w:val="none"/>
          <w:vertAlign w:val="subscript"/>
        </w:rPr>
        <w:t>rs</w:t>
      </w:r>
      <w:r>
        <w:t xml:space="preserve"> </w:t>
      </w:r>
      <w:r>
        <w:rPr>
          <w:rFonts w:hint="eastAsia" w:ascii="Times New Roman" w:hAnsi="Times New Roman" w:eastAsia="宋体" w:cs="Times New Roman"/>
          <w:color w:val="auto"/>
          <w:sz w:val="20"/>
          <w:szCs w:val="20"/>
          <w:lang w:val="en-US" w:eastAsia="zh-CN" w:bidi="ar-SA"/>
        </w:rPr>
        <w:t>ms. If the target cell is an unknown inter-frequency cell and the target cell Es/Iot≥-2 dB, then</w:t>
      </w:r>
      <w:r>
        <w:t xml:space="preserve"> </w:t>
      </w:r>
      <w:r>
        <w:rPr>
          <w:highlight w:val="none"/>
        </w:rPr>
        <w:t>T</w:t>
      </w:r>
      <w:r>
        <w:rPr>
          <w:highlight w:val="none"/>
          <w:vertAlign w:val="subscript"/>
        </w:rPr>
        <w:t>search</w:t>
      </w:r>
      <w:r>
        <w:rPr>
          <w:highlight w:val="none"/>
        </w:rPr>
        <w:t xml:space="preserve"> = 3* T</w:t>
      </w:r>
      <w:r>
        <w:rPr>
          <w:highlight w:val="none"/>
          <w:vertAlign w:val="subscript"/>
        </w:rPr>
        <w:t>rs</w:t>
      </w:r>
      <w:r>
        <w:rPr>
          <w:highlight w:val="none"/>
        </w:rPr>
        <w:t xml:space="preserve"> </w:t>
      </w:r>
      <w:r>
        <w:rPr>
          <w:rFonts w:hint="eastAsia" w:eastAsia="宋体"/>
          <w:color w:val="auto"/>
          <w:sz w:val="20"/>
          <w:szCs w:val="20"/>
          <w:lang w:val="en-US" w:eastAsia="zh-CN"/>
        </w:rPr>
        <w:t xml:space="preserve">ms. </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ATG scenario, gNBs should be deployed to cover the whole air line. Since the trajectory is deterministic, so the common case is the target cell is known. So not need to consider unknown case, which is same as the handling in HST.</w:t>
      </w:r>
    </w:p>
    <w:p>
      <w:pPr>
        <w:pStyle w:val="4"/>
        <w:numPr>
          <w:ilvl w:val="0"/>
          <w:numId w:val="0"/>
        </w:numPr>
        <w:ind w:leftChars="0"/>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8: Not need to consider handover to unknown cell for ATG scenario.</w:t>
      </w:r>
    </w:p>
    <w:p>
      <w:pPr>
        <w:pStyle w:val="4"/>
        <w:jc w:val="both"/>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For RRC re-establishment</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When the lose of RRC connection happening since of some failure case, it is necessary to perform RRC re-establishment. The requirements of RRC re-establishment for FR1 can be re-used for ATG.</w:t>
      </w:r>
    </w:p>
    <w:p>
      <w:pPr>
        <w:pStyle w:val="4"/>
        <w:numPr>
          <w:ilvl w:val="0"/>
          <w:numId w:val="0"/>
        </w:numPr>
        <w:ind w:leftChars="0"/>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9: Re-using the legacy RRC re-establishment requirements for ATG UE.</w:t>
      </w:r>
    </w:p>
    <w:p>
      <w:pPr>
        <w:pStyle w:val="3"/>
        <w:bidi w:val="0"/>
        <w:rPr>
          <w:rFonts w:hint="eastAsi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4</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Measurement procedure</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RRM measurement</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RRM measurement, whether UE can perform RRM measurement in time depends on the specific parameters such as ISD in ATG scenario since RRM measurement focus on the cell edge. Whether need to introduce a DRX cycle upper bound should be studied. We can take the 640ms of DRX cycle as an example, in such case, during the delay of </w:t>
      </w:r>
      <w:r>
        <w:t>T</w:t>
      </w:r>
      <w:r>
        <w:rPr>
          <w:vertAlign w:val="subscript"/>
        </w:rPr>
        <w:t>identify_intra_without_index</w:t>
      </w:r>
      <w:r>
        <w:rPr>
          <w:rFonts w:hint="eastAsia" w:eastAsia="宋体"/>
          <w:color w:val="auto"/>
          <w:sz w:val="20"/>
          <w:szCs w:val="20"/>
          <w:lang w:val="en-US" w:eastAsia="zh-CN"/>
        </w:rPr>
        <w:t>, UE can move about 2132 m at the speed of 1200km/h. The distance will be even longer if the value of Kp is larger than 1. Whether this can be acceptable for the ATG scenario with ISD of 100 km, we believe the answer is yes. So the upper bound of DRX may be not necessary.</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10: It is not necessary to specify the upper bound of DRS cycle for ATG system.</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Intra/inter-frequency measurement</w:t>
      </w:r>
    </w:p>
    <w:p>
      <w:pPr>
        <w:pStyle w:val="4"/>
        <w:jc w:val="both"/>
        <w:rPr>
          <w:rFonts w:hint="default" w:eastAsia="宋体"/>
          <w:color w:val="auto"/>
          <w:sz w:val="20"/>
          <w:szCs w:val="20"/>
          <w:lang w:val="en-US" w:eastAsia="zh-CN"/>
        </w:rPr>
      </w:pPr>
      <w:r>
        <w:rPr>
          <w:rFonts w:hint="eastAsia" w:eastAsia="宋体"/>
          <w:color w:val="auto"/>
          <w:sz w:val="20"/>
          <w:szCs w:val="20"/>
          <w:lang w:val="en-US" w:eastAsia="zh-CN"/>
        </w:rPr>
        <w:t>We believe legacy intra/inter-frequency measurement can be baseline for ATG CPE, since only single carrier case should be considered, so only FR1 MG is needed. Further more, referring to CSSF, since not any SCCs, PSCell, deactivated SCell need to be considered, so the CSSF under RedCap single carrier case can be a reference.</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11: Legacy intra/inter-frequency measurement can be baseline for ATG CEP. For CSSF, the CSSF under RedCap single carrier case can be a reference.</w:t>
      </w:r>
    </w:p>
    <w:p>
      <w:pPr>
        <w:pStyle w:val="4"/>
        <w:numPr>
          <w:ilvl w:val="0"/>
          <w:numId w:val="0"/>
        </w:numPr>
        <w:ind w:leftChars="0"/>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Whether need positioning measurement for ATG</w:t>
      </w:r>
    </w:p>
    <w:p>
      <w:pPr>
        <w:pStyle w:val="4"/>
        <w:numPr>
          <w:ilvl w:val="0"/>
          <w:numId w:val="0"/>
        </w:numPr>
        <w:ind w:leftChars="0"/>
        <w:jc w:val="both"/>
        <w:rPr>
          <w:rFonts w:hint="default" w:eastAsia="宋体"/>
          <w:color w:val="auto"/>
          <w:sz w:val="20"/>
          <w:szCs w:val="20"/>
          <w:lang w:val="en-US" w:eastAsia="zh-CN"/>
        </w:rPr>
      </w:pPr>
      <w:r>
        <w:rPr>
          <w:rFonts w:hint="eastAsia" w:eastAsia="宋体"/>
          <w:color w:val="auto"/>
          <w:sz w:val="20"/>
          <w:szCs w:val="20"/>
          <w:lang w:val="en-US" w:eastAsia="zh-CN"/>
        </w:rPr>
        <w:t xml:space="preserve">To our understand, even though positioning measurement is not precluded by NTN, but the feasibility and effect are doubted. NTN UE is assumed GNSS capable, UE can identify its position through GNSS. On the other hand, </w:t>
      </w:r>
      <w:r>
        <w:rPr>
          <w:rFonts w:hint="eastAsia" w:eastAsia="宋体"/>
          <w:color w:val="auto"/>
          <w:sz w:val="20"/>
          <w:szCs w:val="20"/>
          <w:highlight w:val="none"/>
          <w:lang w:val="en-US" w:eastAsia="zh-CN"/>
        </w:rPr>
        <w:t xml:space="preserve">UE based time/frequency pre-compensation have been supported by NTN UE, so NW do not need to identify the timing/frequency tracking based on the UE position. In ATG system, similar logic can be applied, if UE based frequency pre-compensation would be applied, the necessity of positioning is not obvious. </w:t>
      </w:r>
      <w:r>
        <w:rPr>
          <w:rFonts w:hint="eastAsia" w:eastAsia="宋体"/>
          <w:color w:val="auto"/>
          <w:sz w:val="20"/>
          <w:szCs w:val="20"/>
          <w:lang w:val="en-US" w:eastAsia="zh-CN"/>
        </w:rPr>
        <w:t>Further more, due to the extreme high speed of ATG CPE, the effectiveness of positioning report is uncertain.</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12: We can not see obvious necessity of positioning measurement for ATG if UE based frequency pre-compensation is supported.</w:t>
      </w:r>
    </w:p>
    <w:p>
      <w:pPr>
        <w:pStyle w:val="3"/>
        <w:bidi w:val="0"/>
        <w:rPr>
          <w:rFonts w:hint="default"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5</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Signalling characteristics</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RLM, BFD, and LRP, just re-using legacy TN requirements is fine, we can not find any motivation to enhance.</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active BWP switching, active TCI state/spatial relation switching, just re-using legacy TN requirements is fine, we can not find any motivation to enhance.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13: Reusing legacy requirements of RLM, BFD, LRP and BWP switching active TCI state/spatial relation switching are fine.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consideration of RRM aspects for ATG system</w:t>
      </w:r>
      <w:r>
        <w:rPr>
          <w:rFonts w:eastAsia="宋体"/>
          <w:bCs/>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For some combination of frequency and SCS, SSB+TRS is feasible implementation for frequency offset tracking to support 1200km/h for ATG deployment.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The solution of frequency offset tracking in NTN system can be considered as reference for ATG system when SSB+TRS is not sufficient for some combination of frequency and SCS.</w:t>
      </w:r>
    </w:p>
    <w:p>
      <w:pPr>
        <w:pStyle w:val="4"/>
        <w:rPr>
          <w:rFonts w:hint="default"/>
          <w:lang w:val="en-US" w:eastAsia="zh-CN"/>
        </w:rPr>
      </w:pPr>
      <w:r>
        <w:rPr>
          <w:rFonts w:hint="eastAsia" w:eastAsia="宋体" w:cs="Times New Roman"/>
          <w:b/>
          <w:bCs/>
          <w:color w:val="auto"/>
          <w:sz w:val="20"/>
          <w:szCs w:val="20"/>
          <w:highlight w:val="none"/>
          <w:lang w:val="en-US" w:eastAsia="zh-CN" w:bidi="ar-SA"/>
        </w:rPr>
        <w:t xml:space="preserve">Proposal 1: Referring to whether need to introduce </w:t>
      </w:r>
      <w:r>
        <w:rPr>
          <w:rFonts w:eastAsia="宋体" w:cs="Times New Roman"/>
          <w:b/>
          <w:bCs/>
          <w:sz w:val="20"/>
          <w:szCs w:val="20"/>
        </w:rPr>
        <w:t>K</w:t>
      </w:r>
      <w:r>
        <w:rPr>
          <w:rFonts w:eastAsia="宋体" w:cs="Times New Roman"/>
          <w:b/>
          <w:bCs/>
          <w:sz w:val="20"/>
          <w:szCs w:val="20"/>
          <w:vertAlign w:val="subscript"/>
        </w:rPr>
        <w:t>offset</w:t>
      </w:r>
      <w:r>
        <w:rPr>
          <w:rFonts w:hint="eastAsia" w:eastAsia="宋体"/>
          <w:b/>
          <w:bCs/>
          <w:color w:val="auto"/>
          <w:sz w:val="20"/>
          <w:szCs w:val="20"/>
          <w:lang w:val="en-US" w:eastAsia="zh-CN"/>
        </w:rPr>
        <w:t xml:space="preserve"> and </w:t>
      </w:r>
      <w:r>
        <w:rPr>
          <w:rFonts w:eastAsia="宋体" w:cs="Times New Roman"/>
          <w:b/>
          <w:bCs/>
          <w:sz w:val="20"/>
          <w:szCs w:val="20"/>
        </w:rPr>
        <w:t>K</w:t>
      </w:r>
      <w:r>
        <w:rPr>
          <w:rFonts w:eastAsia="宋体" w:cs="Times New Roman"/>
          <w:b/>
          <w:bCs/>
          <w:sz w:val="20"/>
          <w:szCs w:val="20"/>
          <w:vertAlign w:val="subscript"/>
        </w:rPr>
        <w:t>mac</w:t>
      </w:r>
      <w:r>
        <w:rPr>
          <w:rFonts w:hint="eastAsia" w:eastAsia="宋体"/>
          <w:b/>
          <w:bCs/>
          <w:color w:val="auto"/>
          <w:sz w:val="20"/>
          <w:szCs w:val="20"/>
          <w:lang w:val="en-US" w:eastAsia="zh-CN"/>
        </w:rPr>
        <w:t xml:space="preserve"> identified in NTN into ATG system, for </w:t>
      </w:r>
      <w:r>
        <w:rPr>
          <w:rFonts w:eastAsia="宋体" w:cs="Times New Roman"/>
          <w:b/>
          <w:bCs/>
          <w:sz w:val="20"/>
          <w:szCs w:val="20"/>
        </w:rPr>
        <w:t>K</w:t>
      </w:r>
      <w:r>
        <w:rPr>
          <w:rFonts w:eastAsia="宋体" w:cs="Times New Roman"/>
          <w:b/>
          <w:bCs/>
          <w:sz w:val="20"/>
          <w:szCs w:val="20"/>
          <w:vertAlign w:val="subscript"/>
        </w:rPr>
        <w:t>mac</w:t>
      </w:r>
      <w:r>
        <w:rPr>
          <w:rFonts w:hint="eastAsia" w:eastAsia="宋体"/>
          <w:b/>
          <w:bCs/>
          <w:color w:val="auto"/>
          <w:sz w:val="20"/>
          <w:szCs w:val="20"/>
          <w:lang w:val="en-US" w:eastAsia="zh-CN"/>
        </w:rPr>
        <w:t xml:space="preserve">, not necessary since of no feeder link existence; for </w:t>
      </w:r>
      <w:r>
        <w:rPr>
          <w:rFonts w:eastAsia="宋体" w:cs="Times New Roman"/>
          <w:b/>
          <w:bCs/>
          <w:sz w:val="20"/>
          <w:szCs w:val="20"/>
        </w:rPr>
        <w:t>K</w:t>
      </w:r>
      <w:r>
        <w:rPr>
          <w:rFonts w:eastAsia="宋体" w:cs="Times New Roman"/>
          <w:b/>
          <w:bCs/>
          <w:sz w:val="20"/>
          <w:szCs w:val="20"/>
          <w:vertAlign w:val="subscript"/>
        </w:rPr>
        <w:t>offset</w:t>
      </w:r>
      <w:r>
        <w:rPr>
          <w:rFonts w:hint="eastAsia" w:eastAsia="宋体" w:cs="Times New Roman"/>
          <w:b/>
          <w:bCs/>
          <w:color w:val="auto"/>
          <w:sz w:val="20"/>
          <w:szCs w:val="20"/>
          <w:highlight w:val="none"/>
          <w:lang w:val="en-US" w:eastAsia="zh-CN" w:bidi="ar-SA"/>
        </w:rPr>
        <w:t>, considering the RTT for cell edge UE under extreme case, we are open to discuss the necessity.</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UE based timing pre-compensation for PRACH or MsgA transmission is necessary for ATG CPE under the extreme case, i.e. 300 km cell coverage.</w:t>
      </w:r>
    </w:p>
    <w:p>
      <w:pPr>
        <w:pStyle w:val="4"/>
        <w:rPr>
          <w:rFonts w:hint="eastAsia" w:ascii="Helvetica" w:hAnsi="Helvetica" w:eastAsia="宋体" w:cs="Times New Roman"/>
          <w:b/>
          <w:bCs/>
          <w:iCs w:val="0"/>
          <w:color w:val="auto"/>
          <w:kern w:val="32"/>
          <w:sz w:val="28"/>
          <w:szCs w:val="32"/>
          <w:lang w:val="en-US" w:eastAsia="zh-CN" w:bidi="ar-SA"/>
        </w:rPr>
      </w:pPr>
      <w:r>
        <w:rPr>
          <w:rFonts w:hint="eastAsia" w:eastAsia="宋体" w:cs="Times New Roman"/>
          <w:b/>
          <w:bCs/>
          <w:color w:val="auto"/>
          <w:sz w:val="20"/>
          <w:szCs w:val="20"/>
          <w:highlight w:val="none"/>
          <w:lang w:val="en-US" w:eastAsia="zh-CN" w:bidi="ar-SA"/>
        </w:rPr>
        <w:t>Proposal 3: UE based frequency pre-compensation similar as in NTN can be reused for ATG CPE.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w:t>
      </w:r>
      <w:r>
        <w:rPr>
          <w:rFonts w:hint="eastAsia"/>
          <w:b/>
          <w:bCs/>
          <w:lang w:val="en-US" w:eastAsia="zh-CN"/>
        </w:rPr>
        <w:t>Reusing legacy R15 requirements of intra-frequency and inter-frequency measurements in cell re-selection is fine.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Not need to consider inter-RAT measurement for cell re-selection due to no commerical demand.</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6: regular intra-frequency measurement and inter-frequency measurement similar as legacy is needed.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Considering the requirements for known case handover, re-using legacy legacy requirement for ATG UE is fine.</w:t>
      </w:r>
    </w:p>
    <w:p>
      <w:pPr>
        <w:pStyle w:val="4"/>
        <w:numPr>
          <w:ilvl w:val="0"/>
          <w:numId w:val="0"/>
        </w:numPr>
        <w:ind w:leftChars="0"/>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8: Not need to consider handover to unknown cell for ATG scenario.</w:t>
      </w:r>
    </w:p>
    <w:p>
      <w:pPr>
        <w:pStyle w:val="4"/>
        <w:numPr>
          <w:ilvl w:val="0"/>
          <w:numId w:val="0"/>
        </w:numPr>
        <w:ind w:leftChars="0"/>
        <w:jc w:val="both"/>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9: Re-using the legacy RRC re-establishment requirements for ATG UE.</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10: It is not necessary to specify the upper bound of DRS cycle for ATG system.</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11: Legacy intra/inter-frequency measurement can be baseline for ATG CEP. For CSSF, the CSSF under RedCap single carrier case can be a reference.</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12: We can not see obvious necessity of positioning measurement for ATG if UE based frequency pre-compensation is supported.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13: Reusing legacy requirements of RLM, BFD, LRP and BWP switching active TCI state/spatial relation switching are fine.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9"/>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1369</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on Air-to-ground network for NR</w:t>
      </w:r>
      <w:r>
        <w:rPr>
          <w:rFonts w:hint="default"/>
          <w:color w:val="auto"/>
          <w:highlight w:val="none"/>
          <w:lang w:val="en-US" w:eastAsia="zh-CN"/>
        </w:rPr>
        <w:t>”</w:t>
      </w:r>
      <w:r>
        <w:rPr>
          <w:rFonts w:hint="eastAsia"/>
          <w:color w:val="auto"/>
          <w:highlight w:val="none"/>
          <w:lang w:val="en-US" w:eastAsia="zh-CN"/>
        </w:rPr>
        <w:t xml:space="preserve">, CMCC </w:t>
      </w:r>
    </w:p>
    <w:p>
      <w:pPr>
        <w:pStyle w:val="9"/>
        <w:numPr>
          <w:ilvl w:val="0"/>
          <w:numId w:val="0"/>
        </w:numPr>
        <w:ind w:leftChars="0"/>
        <w:rPr>
          <w:rFonts w:hint="default" w:eastAsia="宋体"/>
          <w:color w:val="auto"/>
          <w:lang w:val="en-US" w:eastAsia="zh-CN"/>
        </w:rPr>
      </w:pPr>
      <w:r>
        <w:rPr>
          <w:rFonts w:hint="eastAsia"/>
          <w:color w:val="auto"/>
          <w:lang w:val="en-US" w:eastAsia="zh-CN"/>
        </w:rPr>
        <w:t xml:space="preserve">[2] RP-2214347 </w:t>
      </w:r>
      <w:r>
        <w:rPr>
          <w:rFonts w:hint="default"/>
          <w:color w:val="auto"/>
          <w:lang w:val="en-US" w:eastAsia="zh-CN"/>
        </w:rPr>
        <w:t>“</w:t>
      </w:r>
      <w:bookmarkStart w:id="1" w:name="_Hlk41145953"/>
      <w:r>
        <w:rPr>
          <w:rFonts w:hint="default"/>
          <w:color w:val="auto"/>
          <w:lang w:val="en-US" w:eastAsia="zh-CN"/>
        </w:rPr>
        <w:t>WF on NR ATG RRM</w:t>
      </w:r>
      <w:bookmarkEnd w:id="1"/>
      <w:r>
        <w:rPr>
          <w:rFonts w:hint="default"/>
          <w:color w:val="auto"/>
          <w:lang w:val="en-US" w:eastAsia="zh-CN"/>
        </w:rPr>
        <w:t xml:space="preserve"> core requirements”</w:t>
      </w:r>
      <w:r>
        <w:rPr>
          <w:rFonts w:hint="eastAsia"/>
          <w:color w:val="auto"/>
          <w:lang w:val="en-US" w:eastAsia="zh-CN"/>
        </w:rPr>
        <w:t>, CMCC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CD74ABD"/>
    <w:multiLevelType w:val="singleLevel"/>
    <w:tmpl w:val="0CD74ABD"/>
    <w:lvl w:ilvl="0" w:tentative="0">
      <w:start w:val="1"/>
      <w:numFmt w:val="bullet"/>
      <w:lvlText w:val=""/>
      <w:lvlJc w:val="left"/>
      <w:pPr>
        <w:tabs>
          <w:tab w:val="left" w:pos="420"/>
        </w:tabs>
        <w:ind w:left="84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C92EBCF"/>
    <w:multiLevelType w:val="singleLevel"/>
    <w:tmpl w:val="2C92EBCF"/>
    <w:lvl w:ilvl="0" w:tentative="0">
      <w:start w:val="1"/>
      <w:numFmt w:val="decimal"/>
      <w:suff w:val="space"/>
      <w:lvlText w:val="%1)"/>
      <w:lvlJc w:val="left"/>
    </w:lvl>
  </w:abstractNum>
  <w:abstractNum w:abstractNumId="4">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6">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8"/>
  </w:num>
  <w:num w:numId="2">
    <w:abstractNumId w:val="6"/>
  </w:num>
  <w:num w:numId="3">
    <w:abstractNumId w:val="2"/>
  </w:num>
  <w:num w:numId="4">
    <w:abstractNumId w:val="4"/>
  </w:num>
  <w:num w:numId="5">
    <w:abstractNumId w:val="7"/>
  </w:num>
  <w:num w:numId="6">
    <w:abstractNumId w:val="5"/>
  </w:num>
  <w:num w:numId="7">
    <w:abstractNumId w:val="3"/>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226EA6"/>
    <w:rsid w:val="06963BA6"/>
    <w:rsid w:val="07CD3CDD"/>
    <w:rsid w:val="083E6EA0"/>
    <w:rsid w:val="0855671D"/>
    <w:rsid w:val="089009EB"/>
    <w:rsid w:val="08EA2407"/>
    <w:rsid w:val="09716BCA"/>
    <w:rsid w:val="09D64B23"/>
    <w:rsid w:val="09E644B8"/>
    <w:rsid w:val="0A867423"/>
    <w:rsid w:val="0AB155C2"/>
    <w:rsid w:val="0B12013A"/>
    <w:rsid w:val="0B3D3C2F"/>
    <w:rsid w:val="0BB0429A"/>
    <w:rsid w:val="0BDD6CEC"/>
    <w:rsid w:val="0BFF5FC6"/>
    <w:rsid w:val="0C394019"/>
    <w:rsid w:val="0CD05342"/>
    <w:rsid w:val="0CDB4E5B"/>
    <w:rsid w:val="0DEE745F"/>
    <w:rsid w:val="0FAD3D1E"/>
    <w:rsid w:val="102263EF"/>
    <w:rsid w:val="10997F43"/>
    <w:rsid w:val="10DE7BAE"/>
    <w:rsid w:val="120774A3"/>
    <w:rsid w:val="12887761"/>
    <w:rsid w:val="14006D19"/>
    <w:rsid w:val="1481754F"/>
    <w:rsid w:val="148F32AB"/>
    <w:rsid w:val="148F5721"/>
    <w:rsid w:val="14AC57CD"/>
    <w:rsid w:val="15ED3E9B"/>
    <w:rsid w:val="164514BE"/>
    <w:rsid w:val="166B2EA9"/>
    <w:rsid w:val="16E73296"/>
    <w:rsid w:val="170F06AA"/>
    <w:rsid w:val="17225508"/>
    <w:rsid w:val="17B07FBC"/>
    <w:rsid w:val="180A6E32"/>
    <w:rsid w:val="183F2CD2"/>
    <w:rsid w:val="1856323E"/>
    <w:rsid w:val="18AF55E3"/>
    <w:rsid w:val="18B077E2"/>
    <w:rsid w:val="18B1519A"/>
    <w:rsid w:val="18CD0507"/>
    <w:rsid w:val="18F36BA5"/>
    <w:rsid w:val="195D7D48"/>
    <w:rsid w:val="1AD01A1B"/>
    <w:rsid w:val="1B61065A"/>
    <w:rsid w:val="1BBF3927"/>
    <w:rsid w:val="1C177B08"/>
    <w:rsid w:val="1C9001C6"/>
    <w:rsid w:val="1CBA2101"/>
    <w:rsid w:val="1D0573D7"/>
    <w:rsid w:val="1D153DC4"/>
    <w:rsid w:val="1D223E0B"/>
    <w:rsid w:val="1D317C9F"/>
    <w:rsid w:val="1E132F88"/>
    <w:rsid w:val="1E2867E9"/>
    <w:rsid w:val="1E853F6F"/>
    <w:rsid w:val="1E9C7BCC"/>
    <w:rsid w:val="1ECC1E3C"/>
    <w:rsid w:val="208364FC"/>
    <w:rsid w:val="208953F9"/>
    <w:rsid w:val="21014C39"/>
    <w:rsid w:val="21244EB1"/>
    <w:rsid w:val="213964D8"/>
    <w:rsid w:val="21595D04"/>
    <w:rsid w:val="21F13629"/>
    <w:rsid w:val="223236B6"/>
    <w:rsid w:val="2255462C"/>
    <w:rsid w:val="2305377E"/>
    <w:rsid w:val="23901822"/>
    <w:rsid w:val="24122135"/>
    <w:rsid w:val="24D4257E"/>
    <w:rsid w:val="2572202B"/>
    <w:rsid w:val="2605683C"/>
    <w:rsid w:val="26BB1419"/>
    <w:rsid w:val="27B748AA"/>
    <w:rsid w:val="27CB4CB9"/>
    <w:rsid w:val="281C2F58"/>
    <w:rsid w:val="29642C4B"/>
    <w:rsid w:val="2A34628C"/>
    <w:rsid w:val="2A724D05"/>
    <w:rsid w:val="2A7E505C"/>
    <w:rsid w:val="2AC85686"/>
    <w:rsid w:val="2AD04B5F"/>
    <w:rsid w:val="2BC05B2C"/>
    <w:rsid w:val="2BD617C5"/>
    <w:rsid w:val="2C112837"/>
    <w:rsid w:val="2C9B1252"/>
    <w:rsid w:val="2C9C2786"/>
    <w:rsid w:val="2CC13667"/>
    <w:rsid w:val="2E014790"/>
    <w:rsid w:val="2EE77680"/>
    <w:rsid w:val="2F2F0FC8"/>
    <w:rsid w:val="2FA70460"/>
    <w:rsid w:val="301C6BB6"/>
    <w:rsid w:val="319708F2"/>
    <w:rsid w:val="31A8260E"/>
    <w:rsid w:val="31B14C9E"/>
    <w:rsid w:val="332B149D"/>
    <w:rsid w:val="33C522D7"/>
    <w:rsid w:val="344C156B"/>
    <w:rsid w:val="34807672"/>
    <w:rsid w:val="35B06C6A"/>
    <w:rsid w:val="366149EB"/>
    <w:rsid w:val="36941AA2"/>
    <w:rsid w:val="36D37423"/>
    <w:rsid w:val="379D23F9"/>
    <w:rsid w:val="3A185287"/>
    <w:rsid w:val="3A1F46B8"/>
    <w:rsid w:val="3A692CD0"/>
    <w:rsid w:val="3AAE4AA7"/>
    <w:rsid w:val="3AF23299"/>
    <w:rsid w:val="3B270929"/>
    <w:rsid w:val="3B3D5571"/>
    <w:rsid w:val="3B673620"/>
    <w:rsid w:val="3B9A1F29"/>
    <w:rsid w:val="3CE4646B"/>
    <w:rsid w:val="3CFC1228"/>
    <w:rsid w:val="3D5E7AA8"/>
    <w:rsid w:val="3D6F2596"/>
    <w:rsid w:val="3D946587"/>
    <w:rsid w:val="405F175E"/>
    <w:rsid w:val="40C765F3"/>
    <w:rsid w:val="42F869D2"/>
    <w:rsid w:val="43553536"/>
    <w:rsid w:val="44972678"/>
    <w:rsid w:val="451632B9"/>
    <w:rsid w:val="45906394"/>
    <w:rsid w:val="45F60A50"/>
    <w:rsid w:val="46142D0C"/>
    <w:rsid w:val="46263A53"/>
    <w:rsid w:val="46970A81"/>
    <w:rsid w:val="46B036BF"/>
    <w:rsid w:val="46CC320F"/>
    <w:rsid w:val="47282363"/>
    <w:rsid w:val="47810C98"/>
    <w:rsid w:val="47924F0A"/>
    <w:rsid w:val="48F407FD"/>
    <w:rsid w:val="49DC4EAC"/>
    <w:rsid w:val="49E55BC5"/>
    <w:rsid w:val="4A5D0BB5"/>
    <w:rsid w:val="4B600E77"/>
    <w:rsid w:val="4B8F684D"/>
    <w:rsid w:val="4BF02011"/>
    <w:rsid w:val="4C1C63D6"/>
    <w:rsid w:val="4C2D52ED"/>
    <w:rsid w:val="4C864A35"/>
    <w:rsid w:val="4D207A05"/>
    <w:rsid w:val="4D53283E"/>
    <w:rsid w:val="4E015C76"/>
    <w:rsid w:val="4E310026"/>
    <w:rsid w:val="4E4A2325"/>
    <w:rsid w:val="4FC7362A"/>
    <w:rsid w:val="501A6C55"/>
    <w:rsid w:val="515B1740"/>
    <w:rsid w:val="51B14BED"/>
    <w:rsid w:val="52526454"/>
    <w:rsid w:val="525C1CEF"/>
    <w:rsid w:val="528B5767"/>
    <w:rsid w:val="52D33625"/>
    <w:rsid w:val="53A3105E"/>
    <w:rsid w:val="53C64B93"/>
    <w:rsid w:val="548A6C60"/>
    <w:rsid w:val="55B1164D"/>
    <w:rsid w:val="55B4735E"/>
    <w:rsid w:val="55BB221D"/>
    <w:rsid w:val="56371459"/>
    <w:rsid w:val="56484633"/>
    <w:rsid w:val="57FF4799"/>
    <w:rsid w:val="58D0053D"/>
    <w:rsid w:val="595A2A3C"/>
    <w:rsid w:val="598C40A0"/>
    <w:rsid w:val="59DA647E"/>
    <w:rsid w:val="5A556E1A"/>
    <w:rsid w:val="5BF92FF2"/>
    <w:rsid w:val="5C924E81"/>
    <w:rsid w:val="5E2864D0"/>
    <w:rsid w:val="5E494511"/>
    <w:rsid w:val="5EB44FC0"/>
    <w:rsid w:val="5FBA395F"/>
    <w:rsid w:val="60094E5C"/>
    <w:rsid w:val="606F38F4"/>
    <w:rsid w:val="60EC2CBA"/>
    <w:rsid w:val="61CC2D28"/>
    <w:rsid w:val="635902CD"/>
    <w:rsid w:val="64706BBE"/>
    <w:rsid w:val="64F2095B"/>
    <w:rsid w:val="65A16A49"/>
    <w:rsid w:val="67A858DB"/>
    <w:rsid w:val="67FE4166"/>
    <w:rsid w:val="68C401C3"/>
    <w:rsid w:val="69A833BD"/>
    <w:rsid w:val="69EF6835"/>
    <w:rsid w:val="6D566F0F"/>
    <w:rsid w:val="6D836F72"/>
    <w:rsid w:val="6DDE3DAF"/>
    <w:rsid w:val="6E3241BE"/>
    <w:rsid w:val="6EB97A9D"/>
    <w:rsid w:val="6EF10A90"/>
    <w:rsid w:val="6EFC7DED"/>
    <w:rsid w:val="6F2A7FBF"/>
    <w:rsid w:val="6FFF1868"/>
    <w:rsid w:val="715F4C2D"/>
    <w:rsid w:val="722F78FB"/>
    <w:rsid w:val="723C2F8E"/>
    <w:rsid w:val="723D67C5"/>
    <w:rsid w:val="726A5F44"/>
    <w:rsid w:val="72BF60CA"/>
    <w:rsid w:val="72F41282"/>
    <w:rsid w:val="733D0D32"/>
    <w:rsid w:val="73B76769"/>
    <w:rsid w:val="73D411F1"/>
    <w:rsid w:val="74A356B2"/>
    <w:rsid w:val="753811DE"/>
    <w:rsid w:val="75BE67D4"/>
    <w:rsid w:val="75C2004C"/>
    <w:rsid w:val="75C759C1"/>
    <w:rsid w:val="76281B03"/>
    <w:rsid w:val="762D64F3"/>
    <w:rsid w:val="762E20AD"/>
    <w:rsid w:val="767E7EFF"/>
    <w:rsid w:val="775B4604"/>
    <w:rsid w:val="77C067C3"/>
    <w:rsid w:val="78074939"/>
    <w:rsid w:val="78911E31"/>
    <w:rsid w:val="78F9732D"/>
    <w:rsid w:val="7922350F"/>
    <w:rsid w:val="792B5470"/>
    <w:rsid w:val="7A9367CB"/>
    <w:rsid w:val="7AF22571"/>
    <w:rsid w:val="7B0720CF"/>
    <w:rsid w:val="7B4C0E47"/>
    <w:rsid w:val="7B69224B"/>
    <w:rsid w:val="7BE80F25"/>
    <w:rsid w:val="7C1C35A7"/>
    <w:rsid w:val="7C45431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4</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2022-09-30T14:12:27Z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